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center"/>
        <w:rPr>
          <w:shd w:fill="auto" w:val="clear"/>
        </w:rPr>
      </w:pPr>
      <w:r>
        <w:rPr>
          <w:rFonts w:eastAsia="Calibri"/>
          <w:b/>
          <w:sz w:val="24"/>
          <w:szCs w:val="24"/>
          <w:shd w:fill="auto" w:val="clear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8"/>
          <w:szCs w:val="28"/>
          <w:shd w:fill="auto" w:val="clear"/>
        </w:rPr>
      </w:pPr>
      <w:r>
        <w:rPr>
          <w:rFonts w:eastAsia="Calibri"/>
          <w:b/>
          <w:sz w:val="28"/>
          <w:szCs w:val="28"/>
          <w:shd w:fill="auto" w:val="clear"/>
        </w:rPr>
      </w:r>
    </w:p>
    <w:p>
      <w:pPr>
        <w:pStyle w:val="Normal"/>
        <w:keepNext w:val="true"/>
        <w:keepLines/>
        <w:jc w:val="left"/>
        <w:rPr>
          <w:sz w:val="28"/>
          <w:szCs w:val="28"/>
        </w:rPr>
      </w:pPr>
      <w:r>
        <w:rPr>
          <w:b w:val="false"/>
          <w:i w:val="false"/>
          <w:iCs w:val="false"/>
          <w:strike w:val="false"/>
          <w:dstrike w:val="false"/>
          <w:color w:val="000000"/>
          <w:sz w:val="28"/>
          <w:szCs w:val="28"/>
          <w:u w:val="none"/>
          <w:shd w:fill="auto" w:val="clear"/>
        </w:rPr>
        <w:t>О</w:t>
      </w:r>
      <w:r>
        <w:rPr>
          <w:b w:val="false"/>
          <w:i w:val="false"/>
          <w:strike w:val="false"/>
          <w:dstrike w:val="false"/>
          <w:sz w:val="28"/>
          <w:szCs w:val="28"/>
          <w:u w:val="none"/>
        </w:rPr>
        <w:t>КПД2 43.22.12 Выполнение проектных, строительно-монтажных работ (включая поставку оборудования) по монтажу  модульной компрессорной станции сжатого воздуха на Нерюнгринской ГРЭС в пос. Серебряный Бор Республики Саха (Якутия) в рамках инвестиционного проекта R_505-НГ-24-203</w:t>
      </w:r>
    </w:p>
    <w:p>
      <w:pPr>
        <w:pStyle w:val="Normal"/>
        <w:jc w:val="center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4"/>
          <w:szCs w:val="24"/>
          <w:shd w:fill="auto" w:val="clear"/>
        </w:rPr>
      </w:pPr>
      <w:r>
        <w:rPr>
          <w:rFonts w:eastAsia="Calibri"/>
          <w:b/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center"/>
        <w:rPr>
          <w:shd w:fill="auto" w:val="clear"/>
        </w:rPr>
      </w:pPr>
      <w:r>
        <w:rPr>
          <w:rFonts w:eastAsia="Calibri"/>
          <w:b/>
          <w:sz w:val="24"/>
          <w:szCs w:val="24"/>
          <w:shd w:fill="auto" w:val="clear"/>
        </w:rPr>
        <w:t>Лот №22123015-ТПИР ОБСЛ-2026-ДГК-НерГРЭС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  <w:shd w:fill="auto" w:val="clear"/>
        </w:rPr>
      </w:pPr>
      <w:r>
        <w:rPr>
          <w:rFonts w:eastAsia="Calibri"/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  <w:shd w:fill="auto" w:val="clear"/>
        </w:rPr>
      </w:pPr>
      <w:r>
        <w:rPr>
          <w:rFonts w:eastAsia="Calibri"/>
          <w:b/>
          <w:i/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  <w:shd w:fill="auto" w:val="clear"/>
        </w:rPr>
      </w:pPr>
      <w:r>
        <w:rPr>
          <w:rFonts w:eastAsia="Calibri"/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  <w:r>
        <w:br w:type="page"/>
      </w:r>
    </w:p>
    <w:p>
      <w:pPr>
        <w:pStyle w:val="Normal"/>
        <w:jc w:val="center"/>
        <w:rPr>
          <w:shd w:fill="auto" w:val="clear"/>
        </w:rPr>
      </w:pPr>
      <w:r>
        <w:rPr>
          <w:b/>
          <w:sz w:val="24"/>
          <w:szCs w:val="24"/>
          <w:shd w:fill="auto" w:val="clear"/>
        </w:rPr>
        <w:t>СОДЕРЖАНИЕ</w:t>
      </w:r>
    </w:p>
    <w:p>
      <w:pPr>
        <w:pStyle w:val="Normal"/>
        <w:jc w:val="center"/>
        <w:rPr>
          <w:b/>
          <w:b/>
          <w:sz w:val="24"/>
          <w:szCs w:val="24"/>
          <w:shd w:fill="auto" w:val="clear"/>
        </w:rPr>
      </w:pPr>
      <w:r>
        <w:rPr>
          <w:b/>
          <w:sz w:val="24"/>
          <w:szCs w:val="24"/>
          <w:shd w:fill="auto" w:val="clear"/>
        </w:rPr>
      </w:r>
    </w:p>
    <w:tbl>
      <w:tblPr>
        <w:tblStyle w:val="1051"/>
        <w:tblW w:w="99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56"/>
        <w:gridCol w:w="8510"/>
        <w:gridCol w:w="658"/>
      </w:tblGrid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1.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Общие сведения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1.1.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1.2.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Обозначения и сокращения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Наименование закупаемой продукции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1.3.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Цель выполнения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3</w:t>
            </w:r>
          </w:p>
        </w:tc>
      </w:tr>
      <w:tr>
        <w:trPr/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Таблица 1. Перечень объектов заказчика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3</w:t>
            </w:r>
          </w:p>
        </w:tc>
      </w:tr>
      <w:tr>
        <w:trPr>
          <w:trHeight w:val="335" w:hRule="atLeast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1.4.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Существующее положение дел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1.5.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4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2.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продукции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2.1.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объемам и срокам выполнения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2.1.1.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видам и объемам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</w:t>
            </w:r>
          </w:p>
        </w:tc>
      </w:tr>
      <w:tr>
        <w:trPr/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Таблица 2. Перечень и объем выполняемых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2.1.2.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срокам выполнения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</w:t>
            </w:r>
          </w:p>
        </w:tc>
      </w:tr>
      <w:tr>
        <w:trPr/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Таблица 3. Требования по срокам выполнения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2.2.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качеству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6</w:t>
            </w:r>
          </w:p>
        </w:tc>
      </w:tr>
      <w:tr>
        <w:trPr/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Таблица 4. Требования к качеству работ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6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3.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документации по ценообразованию на этапе закупки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4.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документации по ценообразованию на этапе заключения (исполнения) договора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5.</w:t>
            </w:r>
          </w:p>
        </w:tc>
        <w:tc>
          <w:tcPr>
            <w:tcW w:w="8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Приложения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15</w:t>
            </w:r>
          </w:p>
        </w:tc>
      </w:tr>
    </w:tbl>
    <w:p>
      <w:pPr>
        <w:pStyle w:val="2"/>
        <w:numPr>
          <w:ilvl w:val="0"/>
          <w:numId w:val="0"/>
        </w:numPr>
        <w:ind w:left="0" w:hanging="0"/>
        <w:rPr>
          <w:b w:val="false"/>
          <w:b w:val="false"/>
          <w:i/>
          <w:i/>
          <w:shd w:fill="auto" w:val="clear"/>
        </w:rPr>
      </w:pPr>
      <w:r>
        <w:rPr>
          <w:b w:val="false"/>
          <w:i/>
          <w:shd w:fill="auto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  <w:shd w:fill="auto" w:val="clear"/>
        </w:rPr>
      </w:pPr>
      <w:r>
        <w:rPr>
          <w:rFonts w:eastAsia="Calibri"/>
          <w:b/>
          <w:i/>
          <w:sz w:val="24"/>
          <w:szCs w:val="24"/>
          <w:shd w:fill="auto" w:val="clear"/>
        </w:rPr>
      </w:r>
      <w:r>
        <w:br w:type="page"/>
      </w:r>
    </w:p>
    <w:p>
      <w:pPr>
        <w:pStyle w:val="1"/>
        <w:numPr>
          <w:ilvl w:val="0"/>
          <w:numId w:val="1"/>
        </w:numPr>
        <w:spacing w:before="120" w:after="0"/>
        <w:ind w:left="0" w:hanging="0"/>
        <w:jc w:val="center"/>
        <w:rPr>
          <w:shd w:fill="auto" w:val="clear"/>
        </w:rPr>
      </w:pPr>
      <w:r>
        <w:rPr>
          <w:sz w:val="24"/>
          <w:shd w:fill="auto" w:val="clear"/>
        </w:rPr>
        <w:t>ОБЩИЕ СВЕДЕНИЯ</w:t>
      </w:r>
    </w:p>
    <w:p>
      <w:pPr>
        <w:pStyle w:val="4"/>
        <w:numPr>
          <w:ilvl w:val="1"/>
          <w:numId w:val="1"/>
        </w:numPr>
        <w:ind w:firstLine="135"/>
        <w:rPr>
          <w:shd w:fill="auto" w:val="clear"/>
        </w:rPr>
      </w:pPr>
      <w:r>
        <w:rPr>
          <w:shd w:fill="auto" w:val="clear"/>
        </w:rPr>
        <w:t>Обозначения и сокращения</w:t>
      </w:r>
    </w:p>
    <w:tbl>
      <w:tblPr>
        <w:tblStyle w:val="1051"/>
        <w:tblW w:w="991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92"/>
        <w:gridCol w:w="7223"/>
      </w:tblGrid>
      <w:tr>
        <w:trPr/>
        <w:tc>
          <w:tcPr>
            <w:tcW w:w="2692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kern w:val="0"/>
                <w:shd w:fill="auto" w:val="clear"/>
                <w:lang w:val="ru-RU" w:bidi="ar-SA"/>
              </w:rPr>
              <w:t>пос.</w:t>
            </w:r>
          </w:p>
        </w:tc>
        <w:tc>
          <w:tcPr>
            <w:tcW w:w="7223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kern w:val="0"/>
                <w:shd w:fill="auto" w:val="clear"/>
                <w:lang w:val="ru-RU" w:bidi="ar-SA"/>
              </w:rPr>
              <w:t>поселок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пром.</w:t>
            </w:r>
          </w:p>
        </w:tc>
        <w:tc>
          <w:tcPr>
            <w:tcW w:w="7223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промышленной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ТЭК</w:t>
            </w:r>
          </w:p>
        </w:tc>
        <w:tc>
          <w:tcPr>
            <w:tcW w:w="7223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территориальный энергетический комплекс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ФЗ</w:t>
            </w:r>
          </w:p>
        </w:tc>
        <w:tc>
          <w:tcPr>
            <w:tcW w:w="7223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Федеральный закон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СНиП</w:t>
            </w:r>
          </w:p>
        </w:tc>
        <w:tc>
          <w:tcPr>
            <w:tcW w:w="7223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строительные нормы  и правила</w:t>
            </w:r>
          </w:p>
        </w:tc>
      </w:tr>
      <w:tr>
        <w:trPr>
          <w:trHeight w:val="336" w:hRule="atLeast"/>
        </w:trPr>
        <w:tc>
          <w:tcPr>
            <w:tcW w:w="2692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ТТ</w:t>
            </w:r>
          </w:p>
        </w:tc>
        <w:tc>
          <w:tcPr>
            <w:tcW w:w="7223" w:type="dxa"/>
            <w:tcBorders/>
          </w:tcPr>
          <w:p>
            <w:pPr>
              <w:pStyle w:val="4"/>
              <w:widowControl w:val="false"/>
              <w:numPr>
                <w:ilvl w:val="0"/>
                <w:numId w:val="0"/>
              </w:numPr>
              <w:spacing w:before="120" w:after="60"/>
              <w:ind w:left="0" w:hanging="0"/>
              <w:jc w:val="left"/>
              <w:rPr>
                <w:shd w:fill="auto" w:val="clear"/>
              </w:rPr>
            </w:pPr>
            <w:r>
              <w:rPr>
                <w:b w:val="false"/>
                <w:bCs w:val="false"/>
                <w:kern w:val="0"/>
                <w:shd w:fill="auto" w:val="clear"/>
                <w:lang w:val="ru-RU" w:bidi="ar-SA"/>
              </w:rPr>
              <w:t>технические требования</w:t>
            </w:r>
          </w:p>
        </w:tc>
      </w:tr>
    </w:tbl>
    <w:p>
      <w:pPr>
        <w:pStyle w:val="4"/>
        <w:numPr>
          <w:ilvl w:val="1"/>
          <w:numId w:val="1"/>
        </w:numPr>
        <w:ind w:left="432" w:hanging="7"/>
        <w:rPr>
          <w:shd w:fill="auto" w:val="clear"/>
        </w:rPr>
      </w:pPr>
      <w:bookmarkStart w:id="0" w:name="_Toc46743506"/>
      <w:bookmarkStart w:id="1" w:name="_Toc54646397"/>
      <w:r>
        <w:rPr>
          <w:shd w:fill="auto" w:val="clear"/>
        </w:rPr>
        <w:t>Наименование закупаемой продукции</w:t>
      </w:r>
      <w:bookmarkStart w:id="2" w:name="_Toc54646398"/>
      <w:bookmarkStart w:id="3" w:name="_Toc46743507"/>
      <w:bookmarkEnd w:id="0"/>
      <w:bookmarkEnd w:id="1"/>
    </w:p>
    <w:p>
      <w:pPr>
        <w:pStyle w:val="Normal"/>
        <w:ind w:firstLine="709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 xml:space="preserve">Выполнение проектных, строительно-монтажных работ (включая поставку оборудования) по монтажу модульной компрессорной станции сжатого воздуха на Нерюнгринской ГРЭС в пос. Серебряный бор </w:t>
      </w:r>
      <w:r>
        <w:rPr>
          <w:color w:val="000000"/>
          <w:sz w:val="24"/>
          <w:szCs w:val="24"/>
          <w:shd w:fill="auto" w:val="clear"/>
        </w:rPr>
        <w:t>Республики</w:t>
      </w:r>
      <w:r>
        <w:rPr>
          <w:sz w:val="24"/>
          <w:szCs w:val="24"/>
          <w:shd w:fill="auto" w:val="clear"/>
        </w:rPr>
        <w:t xml:space="preserve"> Саха (Якутия). </w:t>
      </w:r>
    </w:p>
    <w:p>
      <w:pPr>
        <w:pStyle w:val="4"/>
        <w:numPr>
          <w:ilvl w:val="1"/>
          <w:numId w:val="1"/>
        </w:numPr>
        <w:ind w:left="432" w:hanging="7"/>
        <w:rPr>
          <w:shd w:fill="auto" w:val="clear"/>
        </w:rPr>
      </w:pPr>
      <w:r>
        <w:rPr>
          <w:b w:val="false"/>
          <w:bCs w:val="false"/>
          <w:shd w:fill="auto" w:val="clear"/>
        </w:rPr>
        <w:t xml:space="preserve"> </w:t>
      </w:r>
      <w:r>
        <w:rPr>
          <w:shd w:fill="auto" w:val="clear"/>
        </w:rPr>
        <w:t xml:space="preserve">Цель </w:t>
      </w:r>
      <w:bookmarkEnd w:id="3"/>
      <w:r>
        <w:rPr>
          <w:shd w:fill="auto" w:val="clear"/>
        </w:rPr>
        <w:t>выполнения работ</w:t>
      </w:r>
      <w:bookmarkEnd w:id="2"/>
    </w:p>
    <w:p>
      <w:pPr>
        <w:pStyle w:val="4"/>
        <w:numPr>
          <w:ilvl w:val="0"/>
          <w:numId w:val="0"/>
        </w:numPr>
        <w:ind w:left="0" w:hanging="0"/>
        <w:jc w:val="both"/>
        <w:rPr>
          <w:shd w:fill="auto" w:val="clear"/>
        </w:rPr>
      </w:pPr>
      <w:r>
        <w:rPr>
          <w:b w:val="false"/>
          <w:bCs w:val="false"/>
          <w:shd w:fill="auto" w:val="clear"/>
        </w:rPr>
        <w:t xml:space="preserve">Улучшение технико-экономических показателей основных средств. </w:t>
      </w:r>
      <w:r>
        <w:rPr>
          <w:shd w:fill="auto" w:val="clear"/>
        </w:rPr>
        <w:t xml:space="preserve"> </w:t>
      </w:r>
      <w:bookmarkStart w:id="4" w:name="_Toc46743508"/>
      <w:bookmarkStart w:id="5" w:name="_Toc54646399"/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hd w:fill="auto" w:val="clear"/>
        </w:rPr>
      </w:pPr>
      <w:bookmarkStart w:id="6" w:name="_Toc54646400"/>
      <w:bookmarkEnd w:id="4"/>
      <w:bookmarkEnd w:id="5"/>
      <w:r>
        <w:rPr>
          <w:sz w:val="24"/>
          <w:szCs w:val="24"/>
          <w:shd w:fill="auto" w:val="clear"/>
        </w:rPr>
        <w:t>Таблица 1. Перечень объектов заказчика</w:t>
      </w:r>
      <w:bookmarkEnd w:id="6"/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1865"/>
        <w:gridCol w:w="2693"/>
        <w:gridCol w:w="1991"/>
        <w:gridCol w:w="2552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  <w:shd w:fill="auto" w:val="clear"/>
              </w:rPr>
              <w:t>(место производства работ)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Примечания</w:t>
            </w:r>
          </w:p>
        </w:tc>
      </w:tr>
      <w:tr>
        <w:trPr>
          <w:trHeight w:val="77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5</w:t>
            </w:r>
          </w:p>
        </w:tc>
      </w:tr>
      <w:tr>
        <w:trPr>
          <w:trHeight w:val="2244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Модульная компрессорная станция сжатого воздуха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rFonts w:eastAsia="Calibri"/>
                <w:sz w:val="24"/>
                <w:szCs w:val="24"/>
                <w:shd w:fill="auto" w:val="clear"/>
              </w:rPr>
              <w:t>СП «Нерюнгринская ГРЭС» АО «ДГК» Российская Федерация, Республика Саха (Якутия) Нерюнгринский район, пгт. Серебряный Бор, Нерюнгринская ГРЭС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Новое основное средство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Модульная компрессорная станция сжатого воздуха</w:t>
            </w:r>
          </w:p>
        </w:tc>
      </w:tr>
    </w:tbl>
    <w:p>
      <w:pPr>
        <w:pStyle w:val="4"/>
        <w:numPr>
          <w:ilvl w:val="1"/>
          <w:numId w:val="1"/>
        </w:numPr>
        <w:ind w:left="567" w:hanging="0"/>
        <w:rPr>
          <w:shd w:fill="auto" w:val="clear"/>
        </w:rPr>
      </w:pPr>
      <w:r>
        <w:rPr>
          <w:b w:val="false"/>
          <w:bCs w:val="false"/>
          <w:shd w:fill="auto" w:val="clear"/>
        </w:rPr>
        <w:t xml:space="preserve"> </w:t>
      </w:r>
      <w:r>
        <w:rPr>
          <w:shd w:fill="auto" w:val="clear"/>
        </w:rPr>
        <w:t>Существующее положение дел</w:t>
      </w:r>
    </w:p>
    <w:p>
      <w:pPr>
        <w:pStyle w:val="4"/>
        <w:numPr>
          <w:ilvl w:val="0"/>
          <w:numId w:val="0"/>
        </w:numPr>
        <w:ind w:left="0" w:right="0" w:firstLine="567"/>
        <w:jc w:val="both"/>
        <w:rPr>
          <w:shd w:fill="auto" w:val="clear"/>
        </w:rPr>
      </w:pPr>
      <w:r>
        <w:rPr>
          <w:b w:val="false"/>
          <w:bCs w:val="false"/>
          <w:sz w:val="24"/>
          <w:szCs w:val="24"/>
          <w:shd w:fill="auto" w:val="clear"/>
        </w:rPr>
        <w:t>Ежегодная потребность сжатого воздуха с учетом производственных и ремонтных нужд СП НГРЭС в среднем составляет 382 000 м3 в год.</w:t>
      </w:r>
    </w:p>
    <w:p>
      <w:pPr>
        <w:pStyle w:val="Normal"/>
        <w:ind w:left="0" w:right="0" w:firstLine="567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>Для обеспечения достаточным объемом воздуха СП НГРЭС с перспективой на будущие годы, необходимо в СП НГРЭС установить модульную компрессорную станцию сжатого воздуха.</w:t>
      </w:r>
    </w:p>
    <w:p>
      <w:pPr>
        <w:pStyle w:val="4"/>
        <w:numPr>
          <w:ilvl w:val="1"/>
          <w:numId w:val="1"/>
        </w:numPr>
        <w:ind w:left="0" w:firstLine="567"/>
        <w:jc w:val="both"/>
        <w:rPr>
          <w:shd w:fill="auto" w:val="clear"/>
        </w:rPr>
      </w:pPr>
      <w:bookmarkStart w:id="7" w:name="_Hlk49857604"/>
      <w:bookmarkStart w:id="8" w:name="_Toc54646401"/>
      <w:bookmarkStart w:id="9" w:name="_Toc46743509"/>
      <w:r>
        <w:rPr>
          <w:sz w:val="24"/>
          <w:szCs w:val="24"/>
          <w:shd w:fill="auto" w:val="clear"/>
        </w:rPr>
        <w:t>Информация в отношении исполнения договор</w:t>
      </w:r>
      <w:r>
        <w:rPr>
          <w:shd w:fill="auto" w:val="clear"/>
        </w:rPr>
        <w:t xml:space="preserve">а, </w:t>
      </w:r>
      <w:bookmarkStart w:id="10" w:name="_Hlk46492347"/>
      <w:r>
        <w:rPr>
          <w:shd w:fill="auto" w:val="clear"/>
        </w:rPr>
        <w:t xml:space="preserve">которая должна быть учтена при подготовке заявки </w:t>
      </w:r>
      <w:bookmarkEnd w:id="10"/>
      <w:r>
        <w:rPr>
          <w:shd w:fill="auto" w:val="clear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7"/>
      <w:bookmarkEnd w:id="8"/>
      <w:bookmarkEnd w:id="9"/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firstLine="567"/>
        <w:jc w:val="left"/>
        <w:outlineLvl w:val="0"/>
        <w:rPr>
          <w:shd w:fill="auto" w:val="clear"/>
        </w:rPr>
      </w:pPr>
      <w:r>
        <w:rPr>
          <w:rFonts w:cs="Times New Roman"/>
          <w:sz w:val="24"/>
          <w:szCs w:val="24"/>
          <w:shd w:fill="auto" w:val="clear"/>
        </w:rPr>
        <w:t xml:space="preserve">Качество воздуха должно соответствовать  по </w:t>
      </w:r>
      <w:r>
        <w:rPr>
          <w:sz w:val="24"/>
          <w:szCs w:val="24"/>
          <w:shd w:fill="auto" w:val="clear"/>
        </w:rPr>
        <w:t>ГОС</w:t>
      </w:r>
      <w:r>
        <w:rPr>
          <w:rFonts w:eastAsia="Times New Roman" w:cs="Times New Roman"/>
          <w:sz w:val="24"/>
          <w:szCs w:val="24"/>
          <w:shd w:fill="auto" w:val="clear"/>
        </w:rPr>
        <w:t xml:space="preserve">Т Р ИСО 8573-1-2016 Сжатый воздух. Часть 1. Загрязнения и классы чистоты </w:t>
      </w:r>
    </w:p>
    <w:tbl>
      <w:tblPr>
        <w:tblW w:w="992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8"/>
        <w:gridCol w:w="2774"/>
        <w:gridCol w:w="1408"/>
        <w:gridCol w:w="3802"/>
        <w:gridCol w:w="1384"/>
      </w:tblGrid>
      <w:tr>
        <w:trPr/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Классы чистоты сжатого воздуха  по частицам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Класс 1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2868" w:hanging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Пункт 5.2</w:t>
            </w:r>
          </w:p>
        </w:tc>
      </w:tr>
      <w:tr>
        <w:trPr>
          <w:trHeight w:val="830" w:hRule="atLeast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2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Классы чистоты по влажности и содержанию воды в жидкой фазе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Класс 5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Температура точки росы,  ≤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shd w:fill="auto" w:val="clear"/>
                <w:lang w:val="ru-RU" w:eastAsia="en-US" w:bidi="ar-SA"/>
              </w:rPr>
              <w:t>+ 7</w:t>
            </w: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°C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Пункт 5.3</w:t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3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Классы чистоты по содержанию масел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Класс  1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Общая концентрация масел (в фазах аэрозолей, жидкости и паров) , мг/м    ≤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val="ru-RU" w:eastAsia="en-US" w:bidi="ar-SA"/>
              </w:rPr>
              <w:t>0,01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Пункт 5.4</w:t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Общие требования.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</w:rPr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4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Температура выхода сжатого воздуха после компрессора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/>
                <w:sz w:val="24"/>
                <w:szCs w:val="24"/>
                <w:shd w:fill="auto" w:val="clear"/>
              </w:rPr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left"/>
              <w:outlineLvl w:val="0"/>
              <w:rPr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  <w:lang w:val="ru-RU" w:eastAsia="en-US" w:bidi="ar-SA"/>
              </w:rPr>
              <w:t>+20°C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left"/>
        <w:outlineLvl w:val="0"/>
        <w:rPr>
          <w:shd w:fill="auto" w:val="clear"/>
        </w:rPr>
      </w:pPr>
      <w:r>
        <w:rPr>
          <w:rFonts w:eastAsia="Times New Roman" w:cs="Times New Roman"/>
          <w:sz w:val="24"/>
          <w:szCs w:val="24"/>
          <w:shd w:fill="auto" w:val="clear"/>
        </w:rPr>
        <w:t>Дополнительно: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shd w:fill="auto" w:val="clear"/>
        </w:rPr>
      </w:pPr>
      <w:r>
        <w:rPr>
          <w:rFonts w:eastAsia="Times New Roman" w:cs="Times New Roman"/>
          <w:sz w:val="24"/>
          <w:szCs w:val="24"/>
          <w:shd w:fill="auto" w:val="clear"/>
        </w:rPr>
        <w:t>При использовании сжатого воздуха  для  Турбогенераторов,   система должна обеспечена фильтром и осушителем воздуха.  (ПУЭ -7, пункт 5.2.15, абзац11)</w:t>
      </w:r>
    </w:p>
    <w:p>
      <w:pPr>
        <w:pStyle w:val="4"/>
        <w:numPr>
          <w:ilvl w:val="0"/>
          <w:numId w:val="0"/>
        </w:numPr>
        <w:ind w:left="0" w:firstLine="567"/>
        <w:jc w:val="both"/>
        <w:rPr>
          <w:shd w:fill="auto" w:val="clear"/>
        </w:rPr>
      </w:pPr>
      <w:r>
        <w:rPr>
          <w:b w:val="false"/>
          <w:shd w:fill="auto" w:val="clear"/>
        </w:rPr>
        <w:t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bookmarkStart w:id="11" w:name="_Toc51339693"/>
      <w:bookmarkStart w:id="12" w:name="_Toc54646403"/>
    </w:p>
    <w:p>
      <w:pPr>
        <w:pStyle w:val="1"/>
        <w:keepLines/>
        <w:numPr>
          <w:ilvl w:val="0"/>
          <w:numId w:val="1"/>
        </w:numPr>
        <w:spacing w:before="120" w:after="0"/>
        <w:ind w:left="0" w:hanging="0"/>
        <w:jc w:val="center"/>
        <w:rPr>
          <w:shd w:fill="auto" w:val="clear"/>
        </w:rPr>
      </w:pPr>
      <w:r>
        <w:rPr>
          <w:iCs/>
          <w:sz w:val="24"/>
          <w:szCs w:val="24"/>
          <w:shd w:fill="auto" w:val="clear"/>
        </w:rPr>
        <w:t>ТРЕБОВАНИЯ К ПРОДУКЦИИ</w:t>
      </w:r>
      <w:bookmarkEnd w:id="11"/>
      <w:bookmarkEnd w:id="12"/>
    </w:p>
    <w:p>
      <w:pPr>
        <w:pStyle w:val="4"/>
        <w:numPr>
          <w:ilvl w:val="1"/>
          <w:numId w:val="1"/>
        </w:numPr>
        <w:spacing w:before="120" w:after="0"/>
        <w:ind w:left="0" w:firstLine="567"/>
        <w:rPr>
          <w:shd w:fill="auto" w:val="clear"/>
        </w:rPr>
      </w:pPr>
      <w:bookmarkStart w:id="13" w:name="_Toc54646404"/>
      <w:r>
        <w:rPr>
          <w:shd w:fill="auto" w:val="clear"/>
        </w:rPr>
        <w:t>Требования к объемам и срокам выполнения работ</w:t>
      </w:r>
      <w:bookmarkEnd w:id="13"/>
    </w:p>
    <w:p>
      <w:pPr>
        <w:pStyle w:val="3"/>
        <w:numPr>
          <w:ilvl w:val="2"/>
          <w:numId w:val="1"/>
        </w:numPr>
        <w:ind w:left="1224" w:hanging="657"/>
        <w:rPr>
          <w:shd w:fill="auto" w:val="clear"/>
        </w:rPr>
      </w:pPr>
      <w:bookmarkStart w:id="14" w:name="_Toc54646405"/>
      <w:r>
        <w:rPr>
          <w:shd w:fill="auto" w:val="clear"/>
        </w:rPr>
        <w:t>Требования к видам и объемам работ</w:t>
      </w:r>
      <w:bookmarkEnd w:id="14"/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hd w:fill="auto" w:val="clear"/>
        </w:rPr>
      </w:pPr>
      <w:bookmarkStart w:id="15" w:name="_Toc54646406"/>
      <w:bookmarkStart w:id="16" w:name="_Toc51339695"/>
      <w:r>
        <w:rPr>
          <w:sz w:val="24"/>
          <w:szCs w:val="24"/>
          <w:shd w:fill="auto" w:val="clear"/>
        </w:rPr>
        <w:t xml:space="preserve">Таблица 2. Перечень </w:t>
      </w:r>
      <w:bookmarkEnd w:id="16"/>
      <w:r>
        <w:rPr>
          <w:sz w:val="24"/>
          <w:szCs w:val="24"/>
          <w:shd w:fill="auto" w:val="clear"/>
        </w:rPr>
        <w:t>и объем выполняемых работ</w:t>
      </w:r>
      <w:bookmarkEnd w:id="15"/>
    </w:p>
    <w:tbl>
      <w:tblPr>
        <w:tblW w:w="981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49"/>
        <w:gridCol w:w="4849"/>
        <w:gridCol w:w="1992"/>
        <w:gridCol w:w="2119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Наименование работ / виды работ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Единица измерения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jc w:val="center"/>
              <w:rPr>
                <w:rFonts w:eastAsia="Calibri"/>
                <w:sz w:val="24"/>
                <w:szCs w:val="24"/>
                <w:shd w:fill="auto" w:val="clear"/>
              </w:rPr>
            </w:pPr>
            <w:r>
              <w:rPr>
                <w:rFonts w:eastAsia="Calibri"/>
                <w:sz w:val="24"/>
                <w:szCs w:val="24"/>
                <w:shd w:fill="auto" w:val="clear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Проектные работы (Сбор исходных данных в объёме, необходимом для выполнения разработки общих технических решений, Разработки общих технических решений, Разработка проектной документации, Разработка рабочей документации, включая сметную, Экспертиза промышленной безопасности рабочей документации с получением положительного заключения)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усл. ед.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jc w:val="center"/>
              <w:rPr>
                <w:rFonts w:eastAsia="Calibri"/>
                <w:sz w:val="24"/>
                <w:szCs w:val="24"/>
                <w:shd w:fill="auto" w:val="clear"/>
              </w:rPr>
            </w:pPr>
            <w:r>
              <w:rPr>
                <w:rFonts w:eastAsia="Calibri"/>
                <w:sz w:val="24"/>
                <w:szCs w:val="24"/>
                <w:shd w:fill="auto" w:val="clear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Поставка модульной компрессорной станции сжатого воздуха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усл. ед.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  <w:tr>
        <w:trPr>
          <w:trHeight w:val="276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jc w:val="center"/>
              <w:rPr>
                <w:rFonts w:eastAsia="Calibri"/>
                <w:sz w:val="24"/>
                <w:szCs w:val="24"/>
                <w:shd w:fill="auto" w:val="clear"/>
              </w:rPr>
            </w:pPr>
            <w:r>
              <w:rPr>
                <w:rFonts w:eastAsia="Calibri"/>
                <w:sz w:val="24"/>
                <w:szCs w:val="24"/>
                <w:shd w:fill="auto" w:val="clear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Выполнение строительно-монтажных работ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усл. ед.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  <w:tr>
        <w:trPr>
          <w:trHeight w:val="276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jc w:val="center"/>
              <w:rPr>
                <w:rFonts w:eastAsia="Calibri"/>
                <w:sz w:val="24"/>
                <w:szCs w:val="24"/>
                <w:shd w:fill="auto" w:val="clear"/>
              </w:rPr>
            </w:pPr>
            <w:r>
              <w:rPr>
                <w:rFonts w:eastAsia="Calibri"/>
                <w:sz w:val="24"/>
                <w:szCs w:val="24"/>
                <w:shd w:fill="auto" w:val="clear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Выполнение шеф-монтажных и пусконаладочных работ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усл. ед.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  <w:tr>
        <w:trPr>
          <w:trHeight w:val="276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jc w:val="center"/>
              <w:rPr>
                <w:rFonts w:eastAsia="Calibri"/>
                <w:sz w:val="24"/>
                <w:szCs w:val="24"/>
                <w:shd w:fill="auto" w:val="clear"/>
              </w:rPr>
            </w:pPr>
            <w:r>
              <w:rPr>
                <w:rFonts w:eastAsia="Calibri"/>
                <w:sz w:val="24"/>
                <w:szCs w:val="24"/>
                <w:shd w:fill="auto" w:val="clear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Обучение персонала, эксплуатирующего модульную компрессорную станцию сжатого воздуха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усл. ед.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</w:tr>
    </w:tbl>
    <w:p>
      <w:pPr>
        <w:pStyle w:val="3"/>
        <w:numPr>
          <w:ilvl w:val="2"/>
          <w:numId w:val="1"/>
        </w:numPr>
        <w:rPr>
          <w:shd w:fill="auto" w:val="clear"/>
        </w:rPr>
      </w:pPr>
      <w:bookmarkStart w:id="17" w:name="_Toc54646407"/>
      <w:bookmarkStart w:id="18" w:name="_Toc51339696"/>
      <w:r>
        <w:rPr>
          <w:shd w:fill="auto" w:val="clear"/>
        </w:rPr>
        <w:t xml:space="preserve">Требования </w:t>
      </w:r>
      <w:bookmarkEnd w:id="18"/>
      <w:r>
        <w:rPr>
          <w:shd w:fill="auto" w:val="clear"/>
        </w:rPr>
        <w:t>к срокам выполнения работ</w:t>
      </w:r>
      <w:bookmarkEnd w:id="17"/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hd w:fill="auto" w:val="clear"/>
        </w:rPr>
      </w:pPr>
      <w:r>
        <w:rPr>
          <w:sz w:val="24"/>
          <w:szCs w:val="24"/>
          <w:shd w:fill="auto" w:val="clear"/>
        </w:rPr>
        <w:t>Таблица 3. Требования по срокам выполнения работ</w:t>
      </w:r>
    </w:p>
    <w:tbl>
      <w:tblPr>
        <w:tblW w:w="988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3402"/>
        <w:gridCol w:w="2976"/>
        <w:gridCol w:w="2835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№ </w:t>
            </w:r>
            <w:r>
              <w:rPr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Наименование работ/ виды  работ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Требования к началу срока выполнения работ/ виды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Требования к окончанию срока выполнения работ / виды работ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4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Проектные работы (сбор исходных данных в объёме, необходимом для выполнения разработки общих технических решений, Разработки общих технических решений, Разработка проектной документации, Разработка рабочей документации, включая сметную, Экспертиза промышленной безопасности рабочей документации с получением положительного заключения)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 даты, следующей за датой заключения договора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В течение</w:t>
            </w:r>
            <w:r>
              <w:rPr>
                <w:sz w:val="24"/>
                <w:szCs w:val="24"/>
                <w:shd w:fill="auto" w:val="clear"/>
              </w:rPr>
              <w:t xml:space="preserve"> </w:t>
            </w:r>
            <w:r>
              <w:rPr>
                <w:sz w:val="24"/>
                <w:szCs w:val="24"/>
                <w:shd w:fill="auto" w:val="clear"/>
              </w:rPr>
              <w:t xml:space="preserve">60 </w:t>
            </w:r>
            <w:r>
              <w:rPr>
                <w:sz w:val="24"/>
                <w:szCs w:val="24"/>
                <w:shd w:fill="auto" w:val="clear"/>
              </w:rPr>
              <w:t xml:space="preserve">календарных </w:t>
            </w:r>
            <w:r>
              <w:rPr>
                <w:sz w:val="24"/>
                <w:szCs w:val="24"/>
                <w:shd w:fill="auto" w:val="clear"/>
              </w:rPr>
              <w:t>дней с даты заключения договора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Поставка модульной компрессорной станции сжатого воздуха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 даты, следующей за датой заключения договора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В течение 120 </w:t>
            </w:r>
            <w:r>
              <w:rPr>
                <w:sz w:val="24"/>
                <w:szCs w:val="24"/>
                <w:shd w:fill="auto" w:val="clear"/>
              </w:rPr>
              <w:t>календарных</w:t>
            </w:r>
            <w:r>
              <w:rPr>
                <w:sz w:val="24"/>
                <w:szCs w:val="24"/>
                <w:shd w:fill="auto" w:val="clear"/>
              </w:rPr>
              <w:t xml:space="preserve"> дней с даты заключения договора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Выполнение строительно-монтажных работ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 даты, следующей за датой заключения договора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В течение 60  </w:t>
            </w:r>
            <w:r>
              <w:rPr>
                <w:sz w:val="24"/>
                <w:szCs w:val="24"/>
                <w:shd w:fill="auto" w:val="clear"/>
              </w:rPr>
              <w:t xml:space="preserve">календарных </w:t>
            </w:r>
            <w:r>
              <w:rPr>
                <w:sz w:val="24"/>
                <w:szCs w:val="24"/>
                <w:shd w:fill="auto" w:val="clear"/>
              </w:rPr>
              <w:t>дней с даты поставки модульной компрессорной станции сжатого воздуха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Выполнение шеф-монтажных и пусконаладочных работ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 даты, следующей за датой поставки модульной компрессорной станции сжатого воздуха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В течение 120 </w:t>
            </w:r>
            <w:r>
              <w:rPr>
                <w:sz w:val="24"/>
                <w:szCs w:val="24"/>
                <w:shd w:fill="auto" w:val="clear"/>
              </w:rPr>
              <w:t>календарных</w:t>
            </w:r>
            <w:r>
              <w:rPr>
                <w:sz w:val="24"/>
                <w:szCs w:val="24"/>
                <w:shd w:fill="auto" w:val="clear"/>
              </w:rPr>
              <w:t xml:space="preserve"> дней с даты поставки модульной компрессорной станции сжатого воздуха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Обучение персонала, эксплуатирующего модульную компрессорную станцию сжатого воздуха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5" w:leader="none"/>
              </w:tabs>
              <w:ind w:right="193" w:hanging="0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 даты, следующей за датой выполнения шеф-монтажных и пусконаладочных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В течение 5 </w:t>
            </w:r>
            <w:r>
              <w:rPr>
                <w:sz w:val="24"/>
                <w:szCs w:val="24"/>
                <w:shd w:fill="auto" w:val="clear"/>
              </w:rPr>
              <w:t xml:space="preserve">календарных </w:t>
            </w:r>
            <w:r>
              <w:rPr>
                <w:sz w:val="24"/>
                <w:szCs w:val="24"/>
                <w:shd w:fill="auto" w:val="clear"/>
              </w:rPr>
              <w:t>дней с даты выполнения шеф-монтажных и пусконаладочных работ</w:t>
            </w:r>
          </w:p>
        </w:tc>
      </w:tr>
    </w:tbl>
    <w:p>
      <w:pPr>
        <w:sectPr>
          <w:type w:val="nextPage"/>
          <w:pgSz w:w="11906" w:h="16838"/>
          <w:pgMar w:left="1134" w:right="849" w:header="0" w:top="993" w:footer="0" w:bottom="992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4"/>
        <w:numPr>
          <w:ilvl w:val="1"/>
          <w:numId w:val="1"/>
        </w:numPr>
        <w:rPr>
          <w:shd w:fill="auto" w:val="clear"/>
        </w:rPr>
      </w:pPr>
      <w:r>
        <w:rPr>
          <w:shd w:fill="auto" w:val="clear"/>
        </w:rPr>
        <w:t>Требования к качеству работ</w:t>
      </w:r>
    </w:p>
    <w:p>
      <w:pPr>
        <w:pStyle w:val="1"/>
        <w:keepLines/>
        <w:numPr>
          <w:ilvl w:val="0"/>
          <w:numId w:val="0"/>
        </w:numPr>
        <w:spacing w:before="240" w:after="60"/>
        <w:ind w:left="0" w:hanging="0"/>
        <w:rPr>
          <w:shd w:fill="auto" w:val="clear"/>
        </w:rPr>
      </w:pPr>
      <w:r>
        <w:rPr>
          <w:sz w:val="24"/>
          <w:szCs w:val="24"/>
          <w:shd w:fill="auto" w:val="clear"/>
        </w:rPr>
        <w:t xml:space="preserve">Таблица 4. Требования к качеству работ </w:t>
      </w:r>
    </w:p>
    <w:p>
      <w:pPr>
        <w:pStyle w:val="Normal"/>
        <w:spacing w:before="0" w:after="120"/>
        <w:rPr/>
      </w:pPr>
      <w:r>
        <w:rPr>
          <w:b/>
          <w:bCs/>
          <w:sz w:val="24"/>
          <w:szCs w:val="24"/>
          <w:shd w:fill="auto" w:val="clear"/>
        </w:rPr>
        <w:t xml:space="preserve">Наименование работ/этапа работ: </w:t>
      </w:r>
    </w:p>
    <w:p>
      <w:pPr>
        <w:pStyle w:val="Normal"/>
        <w:spacing w:before="0" w:after="120"/>
        <w:rPr/>
      </w:pPr>
      <w:r>
        <w:rPr>
          <w:rStyle w:val="Style17"/>
          <w:rFonts w:eastAsia="Times New Roman" w:cs="Times New Roman"/>
          <w:b w:val="false"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eastAsia="ru-RU"/>
        </w:rPr>
        <w:t>ОКПД2 43.22.12 Выполнение проектных, строительно-монтажных работ (включая поставку оборудования) по монтажу  модульной компрессорной станции сжатого воздуха на Нерюнгринской ГРЭС в пос. Серебряный Бор Республики Саха (Якутия) в рамках инвестиционного проекта R_505-НГ-24-203</w:t>
      </w:r>
    </w:p>
    <w:tbl>
      <w:tblPr>
        <w:tblStyle w:val="1051"/>
        <w:tblW w:w="15989" w:type="dxa"/>
        <w:jc w:val="left"/>
        <w:tblInd w:w="-4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63"/>
        <w:gridCol w:w="10596"/>
        <w:gridCol w:w="2120"/>
        <w:gridCol w:w="2409"/>
      </w:tblGrid>
      <w:tr>
        <w:trPr/>
        <w:tc>
          <w:tcPr>
            <w:tcW w:w="86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п/п</w:t>
            </w:r>
          </w:p>
        </w:tc>
        <w:tc>
          <w:tcPr>
            <w:tcW w:w="1059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Требование заказчика</w:t>
            </w:r>
          </w:p>
        </w:tc>
        <w:tc>
          <w:tcPr>
            <w:tcW w:w="45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6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</w:r>
          </w:p>
        </w:tc>
        <w:tc>
          <w:tcPr>
            <w:tcW w:w="1059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1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2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3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4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выполнению работ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b/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Общие требования к выполнению работ</w:t>
            </w:r>
          </w:p>
          <w:p>
            <w:pPr>
              <w:pStyle w:val="Normal"/>
              <w:widowControl w:val="false"/>
              <w:spacing w:before="60" w:after="60"/>
              <w:jc w:val="left"/>
              <w:rPr>
                <w:b/>
                <w:b/>
                <w:sz w:val="24"/>
                <w:szCs w:val="24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sz w:val="24"/>
                <w:szCs w:val="24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sz w:val="24"/>
                <w:szCs w:val="24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5988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Проектные работы</w:t>
            </w:r>
          </w:p>
        </w:tc>
      </w:tr>
      <w:tr>
        <w:trPr>
          <w:trHeight w:val="3168" w:hRule="atLeast"/>
        </w:trPr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1.1.1.</w:t>
            </w:r>
          </w:p>
        </w:tc>
        <w:tc>
          <w:tcPr>
            <w:tcW w:w="1059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b/>
                <w:iCs/>
                <w:kern w:val="0"/>
                <w:sz w:val="24"/>
                <w:szCs w:val="24"/>
                <w:shd w:fill="auto" w:val="clear"/>
                <w:lang w:val="ru-RU" w:bidi="ar-SA"/>
              </w:rPr>
              <w:t>Технические требования к</w:t>
            </w:r>
            <w:r>
              <w:rPr>
                <w:b/>
                <w:iCs/>
                <w:color w:val="FF0000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b/>
                <w:iCs/>
                <w:kern w:val="0"/>
                <w:sz w:val="24"/>
                <w:szCs w:val="24"/>
                <w:shd w:fill="auto" w:val="clear"/>
                <w:lang w:val="ru-RU" w:bidi="ar-SA"/>
              </w:rPr>
              <w:t>выполнению работ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iCs/>
                <w:kern w:val="0"/>
                <w:sz w:val="24"/>
                <w:szCs w:val="24"/>
                <w:shd w:fill="auto" w:val="clear"/>
                <w:lang w:val="ru-RU" w:bidi="ar-SA"/>
              </w:rPr>
              <w:t>Выполнении работ подрядчиком осуществляется в соответствии с требованиями Заказчика, изложенными в настоящих Технических требованиях.</w:t>
            </w:r>
          </w:p>
        </w:tc>
        <w:tc>
          <w:tcPr>
            <w:tcW w:w="452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1.1.2.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418" w:leader="none"/>
              </w:tabs>
              <w:spacing w:before="0" w:after="0"/>
              <w:ind w:right="168" w:hanging="0"/>
              <w:jc w:val="both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организации процесса выполнения работ: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418" w:leader="none"/>
              </w:tabs>
              <w:spacing w:before="0" w:after="0"/>
              <w:ind w:right="168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До начала выполнения Работ 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602" w:leader="none"/>
                <w:tab w:val="left" w:pos="1418" w:leader="none"/>
              </w:tabs>
              <w:spacing w:before="0" w:after="0"/>
              <w:ind w:right="168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1.1.3.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ind w:right="168" w:hanging="0"/>
              <w:jc w:val="both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Организационно-технические мероприятия по допуску персонала подрядчика</w:t>
            </w:r>
          </w:p>
          <w:p>
            <w:pPr>
              <w:pStyle w:val="Normal"/>
              <w:widowControl w:val="false"/>
              <w:spacing w:before="0" w:after="0"/>
              <w:ind w:right="168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Допуск персонала подрядчика для выполнения работ должен осуществляться в соответствии с Положением о допуске персонала подрядных организаций к выполнению работ на объектах АО «ДГК» 22.1-504-2025 </w:t>
            </w: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(приложении  №3 к настоящему ТТ),</w:t>
            </w:r>
            <w:r>
              <w:rPr>
                <w:kern w:val="0"/>
                <w:shd w:fill="auto" w:val="clear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 обязательным оформлением необходимых нарядов-допусков.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ind w:right="168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1.1.4.</w:t>
            </w:r>
          </w:p>
        </w:tc>
        <w:tc>
          <w:tcPr>
            <w:tcW w:w="10596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Подробно  требования к проектированию указаны в «Задании на проектировании» (приложении  № 2 к настоящему ТТ).</w:t>
            </w:r>
          </w:p>
        </w:tc>
        <w:tc>
          <w:tcPr>
            <w:tcW w:w="212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409" w:type="dxa"/>
            <w:tcBorders/>
            <w:shd w:color="auto" w:fill="auto" w:val="clear"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15988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Строительно-монтажные работы.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1.1.5.</w:t>
            </w:r>
          </w:p>
        </w:tc>
        <w:tc>
          <w:tcPr>
            <w:tcW w:w="10596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Монтаж </w:t>
            </w: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модульной компрессорной станции сжатого воздуха</w:t>
            </w: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должен проводиться в строгом соответствии с рабочей документацией и заводскими инструкциями по монтажу и эксплуатации оборудования, входящего в состав </w:t>
            </w: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модульной компрессорной станции сжатого воздуха</w:t>
            </w: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.</w:t>
            </w:r>
          </w:p>
        </w:tc>
        <w:tc>
          <w:tcPr>
            <w:tcW w:w="212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shd w:color="auto" w:fill="auto" w:val="clear"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организации работ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1.2.1.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Разработка и согласование проекта производства работ (ППР).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en-US" w:eastAsia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1.2.2.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en-US" w:eastAsia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1.2.3.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Предоставить 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b w:val="false"/>
                <w:b w:val="false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1.2.4.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b w:val="false"/>
                <w:b w:val="false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left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1.3.1.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оборудованию и материалам поставки</w:t>
            </w:r>
          </w:p>
        </w:tc>
        <w:tc>
          <w:tcPr>
            <w:tcW w:w="212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  <w:p>
            <w:pPr>
              <w:pStyle w:val="Style34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Calibri" w:cs="Arial"/>
                <w:b w:val="false"/>
                <w:b w:val="false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Calibri" w:cs="Arial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720" w:hanging="0"/>
              <w:jc w:val="left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059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contextualSpacing/>
              <w:jc w:val="both"/>
              <w:rPr>
                <w:highlight w:val="white"/>
                <w:shd w:fill="auto" w:val="clear"/>
              </w:rPr>
            </w:pPr>
            <w:r>
              <w:rPr>
                <w:kern w:val="0"/>
                <w:highlight w:val="white"/>
                <w:shd w:fill="auto" w:val="clear"/>
                <w:lang w:val="ru-RU" w:bidi="ar-SA"/>
              </w:rPr>
              <w:t>Ведомость объемов работ, ведомость поставки товарно-материальных ценностей и оборудования Подрядчика со спецификацией закупаемой продукции составляется Подрядчиком и согласовывается с Заказчиком на стадии разработки Рабочей документации.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highlight w:val="white"/>
                <w:shd w:fill="auto" w:val="clear"/>
                <w:lang w:val="ru-RU" w:bidi="ar-SA"/>
              </w:rPr>
              <w:t>Материалы и оборудование, необходимые для выполнения работ, приобретаются подрядчиком самостоятельно, согласно ведомости объемов работ и со спецификацией закупаемой продукции.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Материалы поставки Подрядчика должны быть новыми (выпуска не ранее 2023 года) и ранее не использованными, без повреждений,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обязательные документы, имеющие отношение к Материалам, при их наличии. Подрядчик обязан представить Заказчику все копии сертификатов, заключений, разрешений.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При проведении работ должны использоваться сертифицированные материалы на основании федеральных законов РФ №184-ФЗ от 27.12.2002 «О техническом регулировании» и №123-ФЗ от 22.07.2008 «Технический регламент о требованиях пожарной безопасности», технического регламента Таможенного союза "О безопасности машин и оборудования" (ТР ТС 010/2011), Технического регламента Таможенного союза "О безопасности оборудования, работающего под избыточным давлением" (ТР ТС 032/2013).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Материалы поставки Подрядчика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before="0" w:after="0"/>
              <w:ind w:left="0" w:righ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При закупке материалов для строительно-монтажных работ применять Постановление Правительства Российской Федерации от 23.12.2024 №</w:t>
            </w:r>
            <w:bookmarkStart w:id="19" w:name="undefined"/>
            <w:bookmarkEnd w:id="19"/>
            <w:r>
              <w:rPr>
                <w:kern w:val="0"/>
                <w:shd w:fill="auto" w:val="clear"/>
                <w:lang w:val="ru-RU" w:bidi="ar-SA"/>
              </w:rPr>
      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  <w:p>
            <w:pPr>
              <w:pStyle w:val="Annotationtext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Стоимость тары и/или упаковки включена в стоимость Материалов.</w:t>
            </w:r>
          </w:p>
          <w:p>
            <w:pPr>
              <w:pStyle w:val="Annotationtext"/>
              <w:widowControl w:val="false"/>
              <w:numPr>
                <w:ilvl w:val="0"/>
                <w:numId w:val="6"/>
              </w:numPr>
              <w:spacing w:before="0" w:after="0"/>
              <w:ind w:left="0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Гарантия на материалы, поставляемые Подрядчиком, составляет срок не менее гарантийного срока, установленного заводом изготовителем.</w:t>
            </w:r>
          </w:p>
        </w:tc>
        <w:tc>
          <w:tcPr>
            <w:tcW w:w="212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/>
                <w:sz w:val="24"/>
                <w:szCs w:val="24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</w:r>
          </w:p>
        </w:tc>
        <w:tc>
          <w:tcPr>
            <w:tcW w:w="2409" w:type="dxa"/>
            <w:vMerge w:val="continue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b w:val="false"/>
                <w:b w:val="false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left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1.3.2.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контролю качества работ и материалов/оборудования</w:t>
            </w:r>
          </w:p>
        </w:tc>
        <w:tc>
          <w:tcPr>
            <w:tcW w:w="212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left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</w:tcPr>
          <w:p>
            <w:pPr>
              <w:pStyle w:val="Annotationtext"/>
              <w:widowControl w:val="false"/>
              <w:spacing w:before="0" w:after="0"/>
              <w:ind w:firstLine="558"/>
              <w:jc w:val="both"/>
              <w:rPr>
                <w:shd w:fill="auto" w:val="clear"/>
              </w:rPr>
            </w:pPr>
            <w:r>
              <w:rPr>
                <w:b/>
                <w:i/>
                <w:kern w:val="0"/>
                <w:sz w:val="24"/>
                <w:szCs w:val="24"/>
                <w:shd w:fill="auto" w:val="clear"/>
                <w:lang w:val="ru-RU" w:bidi="ar-SA"/>
              </w:rPr>
              <w:t>1.3.2.1. Требования к контролю качества работ</w:t>
            </w:r>
          </w:p>
          <w:p>
            <w:pPr>
              <w:pStyle w:val="Annotationtext"/>
              <w:widowControl w:val="false"/>
              <w:spacing w:before="0" w:after="0"/>
              <w:ind w:firstLine="558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Заказчик может 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      </w:r>
          </w:p>
          <w:p>
            <w:pPr>
              <w:pStyle w:val="Annotationtext"/>
              <w:widowControl w:val="false"/>
              <w:spacing w:before="0" w:after="0"/>
              <w:ind w:firstLine="558"/>
              <w:jc w:val="both"/>
              <w:rPr>
                <w:b/>
                <w:b/>
                <w:i/>
                <w:i/>
                <w:sz w:val="24"/>
                <w:szCs w:val="24"/>
                <w:shd w:fill="auto" w:val="clear"/>
              </w:rPr>
            </w:pPr>
            <w:r>
              <w:rPr>
                <w:b/>
                <w:i/>
                <w:sz w:val="24"/>
                <w:szCs w:val="24"/>
                <w:shd w:fill="auto" w:val="clear"/>
              </w:rPr>
            </w:r>
          </w:p>
          <w:p>
            <w:pPr>
              <w:pStyle w:val="Annotationtext"/>
              <w:widowControl w:val="false"/>
              <w:spacing w:before="0" w:after="0"/>
              <w:ind w:firstLine="558"/>
              <w:jc w:val="both"/>
              <w:rPr>
                <w:shd w:fill="auto" w:val="clear"/>
              </w:rPr>
            </w:pPr>
            <w:r>
              <w:rPr>
                <w:b/>
                <w:i/>
                <w:kern w:val="0"/>
                <w:sz w:val="24"/>
                <w:szCs w:val="24"/>
                <w:shd w:fill="auto" w:val="clear"/>
                <w:lang w:val="ru-RU" w:bidi="ar-SA"/>
              </w:rPr>
              <w:t>1.3.2.2. Требования к контролю качества материалов/оборудования</w:t>
            </w:r>
          </w:p>
          <w:p>
            <w:pPr>
              <w:pStyle w:val="Annotationtext"/>
              <w:widowControl w:val="false"/>
              <w:spacing w:before="0" w:after="0"/>
              <w:ind w:firstLine="558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Применяемые при монтаже оборудование и материалы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</w:p>
          <w:p>
            <w:pPr>
              <w:pStyle w:val="Annotationtext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Подрядчик обязан:</w:t>
            </w:r>
          </w:p>
          <w:p>
            <w:pPr>
              <w:pStyle w:val="Annotationtext"/>
              <w:widowControl w:val="false"/>
              <w:numPr>
                <w:ilvl w:val="0"/>
                <w:numId w:val="4"/>
              </w:numPr>
              <w:spacing w:before="0" w:after="0"/>
              <w:ind w:left="0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предоставляет Заказчику документы, удостоверяющие качество используемых Подрядчиком Материально-технических ресурсов и оборудования;</w:t>
            </w:r>
          </w:p>
          <w:p>
            <w:pPr>
              <w:pStyle w:val="Annotationtext"/>
              <w:widowControl w:val="false"/>
              <w:numPr>
                <w:ilvl w:val="0"/>
                <w:numId w:val="4"/>
              </w:numPr>
              <w:spacing w:before="0" w:after="0"/>
              <w:ind w:left="0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Обеспечить доставку, приемку, разгрузку, складирование и хранение прибывающих на место производства Работ Материально-технических ресурсов и оборудования, необходимых для выполнения Работ.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1418" w:leader="none"/>
              </w:tabs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Организовать контроль качества поступающих Материально-технических ресурсов и оборудования,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 и оборудования. Копии таких сертификатов, технических паспортов и иных документов должны быть предоставлены Заказчику до начала производства Работ.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1418" w:leader="none"/>
              </w:tabs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В случае указания в настоящих Технических требованиях и приложенной к ним документации конкретных торгов</w:t>
            </w:r>
            <w:bookmarkStart w:id="20" w:name="undefined_Копия_1"/>
            <w:bookmarkEnd w:id="20"/>
            <w:r>
              <w:rPr>
                <w:kern w:val="0"/>
                <w:shd w:fill="auto" w:val="clear"/>
                <w:lang w:val="ru-RU" w:bidi="ar-SA"/>
              </w:rPr>
              <w:t>ых марок и названий материалов/оборудования, Подрядчик может предложить эквивалентную продукцию*.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418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1418" w:leader="none"/>
              </w:tabs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Подрядчик обязуется письменно согласовать с Заказчиком планируемые к использованию Материально-технические ресурсы и оборудование до начала производства Работ в случае, если они не соответствуют условиям Договора.</w:t>
            </w:r>
          </w:p>
        </w:tc>
        <w:tc>
          <w:tcPr>
            <w:tcW w:w="212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4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персоналу подрядчика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hd w:fill="auto" w:val="clear"/>
                <w:lang w:val="ru-RU" w:bidi="ar-SA"/>
              </w:rPr>
              <w:t>1.4.1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spacing w:before="0" w:after="0"/>
              <w:ind w:right="97" w:hanging="0"/>
              <w:jc w:val="both"/>
              <w:rPr/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Подрядчик должен производить работы квалифицированными специалистами рабочих специальностей и ИТР: </w:t>
            </w:r>
            <w:r>
              <w:rPr>
                <w:kern w:val="0"/>
                <w:sz w:val="24"/>
                <w:shd w:fill="auto" w:val="clear"/>
                <w:lang w:val="ru-RU" w:bidi="ar-SA"/>
              </w:rPr>
              <w:t>аттестованных согласно «Правил по охране труда при эксплуатации электроустановок» Минтруда РФ от 1512.2020 №903н, «</w:t>
            </w:r>
            <w:r>
              <w:fldChar w:fldCharType="begin"/>
            </w:r>
            <w:r>
              <w:rPr>
                <w:sz w:val="24"/>
                <w:kern w:val="0"/>
                <w:shd w:fill="auto" w:val="clear"/>
                <w:lang w:val="ru-RU" w:bidi="ar-SA"/>
              </w:rPr>
              <w:instrText> HYPERLINK "https://docs.cntd.ru/document/573068704" \l "6540IN"</w:instrText>
            </w:r>
            <w:r>
              <w:rPr>
                <w:sz w:val="24"/>
                <w:kern w:val="0"/>
                <w:shd w:fill="auto" w:val="clear"/>
                <w:lang w:val="ru-RU" w:bidi="ar-SA"/>
              </w:rPr>
              <w:fldChar w:fldCharType="separate"/>
            </w:r>
            <w:r>
              <w:rPr>
                <w:kern w:val="0"/>
                <w:sz w:val="24"/>
                <w:shd w:fill="auto" w:val="clear"/>
                <w:lang w:val="ru-RU" w:bidi="ar-SA"/>
              </w:rPr>
              <w:t>Правил по охране труда при работе с инструментом и приспособлениями</w:t>
            </w:r>
            <w:r>
              <w:rPr>
                <w:sz w:val="24"/>
                <w:kern w:val="0"/>
                <w:shd w:fill="auto" w:val="clear"/>
                <w:lang w:val="ru-RU" w:bidi="ar-SA"/>
              </w:rPr>
              <w:fldChar w:fldCharType="end"/>
            </w:r>
            <w:r>
              <w:rPr>
                <w:kern w:val="0"/>
                <w:sz w:val="24"/>
                <w:shd w:fill="auto" w:val="clear"/>
                <w:lang w:val="ru-RU" w:bidi="ar-SA"/>
              </w:rPr>
              <w:t xml:space="preserve">» от 27.11.2020  №835н, « </w:t>
            </w:r>
            <w:r>
              <w:fldChar w:fldCharType="begin"/>
            </w:r>
            <w:r>
              <w:rPr>
                <w:sz w:val="24"/>
                <w:kern w:val="0"/>
                <w:shd w:fill="auto" w:val="clear"/>
                <w:lang w:val="ru-RU" w:bidi="ar-SA"/>
              </w:rPr>
              <w:instrText> HYPERLINK "https://docs.cntd.ru/document/573114692" \l "6540IN"</w:instrText>
            </w:r>
            <w:r>
              <w:rPr>
                <w:sz w:val="24"/>
                <w:kern w:val="0"/>
                <w:shd w:fill="auto" w:val="clear"/>
                <w:lang w:val="ru-RU" w:bidi="ar-SA"/>
              </w:rPr>
              <w:fldChar w:fldCharType="separate"/>
            </w:r>
            <w:r>
              <w:rPr>
                <w:kern w:val="0"/>
                <w:sz w:val="24"/>
                <w:shd w:fill="auto" w:val="clear"/>
                <w:lang w:val="ru-RU" w:bidi="ar-SA"/>
              </w:rPr>
              <w:t>Правил по охране труда при работе на высоте</w:t>
            </w:r>
            <w:r>
              <w:rPr>
                <w:sz w:val="24"/>
                <w:kern w:val="0"/>
                <w:shd w:fill="auto" w:val="clear"/>
                <w:lang w:val="ru-RU" w:bidi="ar-SA"/>
              </w:rPr>
              <w:fldChar w:fldCharType="end"/>
            </w:r>
            <w:r>
              <w:rPr>
                <w:kern w:val="0"/>
                <w:sz w:val="24"/>
                <w:shd w:fill="auto" w:val="clear"/>
                <w:lang w:val="ru-RU" w:bidi="ar-SA"/>
              </w:rPr>
              <w:t>» от 16.11.2020 №782н,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 утверждённых от 16.09.2020 №1479).</w:t>
            </w:r>
          </w:p>
          <w:p>
            <w:pPr>
              <w:pStyle w:val="Normal"/>
              <w:widowControl w:val="false"/>
              <w:spacing w:before="0" w:after="0"/>
              <w:ind w:firstLine="567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Квалификация персонала должна соответствовать видам выполняемых работ и располагать: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достаточным количеством аттестованного персонала, организованного по принципу комплексных специализированных бригад.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hd w:fill="auto" w:val="clear"/>
                <w:lang w:bidi="ar-SA"/>
              </w:rPr>
              <w:t>Подрядчик должен: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иметь производственную базу (материально-технические ресурсы), позволяющую проводить работы, оборудования и материалы в объеме, определенном ведомостью поставки подрядчика.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526" w:leader="none"/>
                <w:tab w:val="left" w:pos="967" w:leader="none"/>
              </w:tabs>
              <w:spacing w:before="0" w:after="0"/>
              <w:ind w:left="0" w:hanging="0"/>
              <w:contextualSpacing/>
              <w:jc w:val="both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967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Во время проведения работ команда ИТР Подрядчика должна поддерживать на должном уровне систему управления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мероприятий).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безопасности работ и охране труда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-127" w:hanging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hd w:fill="auto" w:val="clear"/>
                <w:lang w:val="ru-RU" w:bidi="ar-SA"/>
              </w:rPr>
              <w:t>1.5.1</w:t>
            </w:r>
          </w:p>
        </w:tc>
        <w:tc>
          <w:tcPr>
            <w:tcW w:w="10596" w:type="dxa"/>
            <w:tcBorders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jc w:val="left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результатам работ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Общие требования к результатам работ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>
          <w:trHeight w:val="77" w:hRule="atLeast"/>
        </w:trPr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left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2.1.1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Состав разделов РД, их объем должен соответствовать требованиям ГОСТ Р 21.101-2020 «Система проектной документации для строительства. Основные требования к проектной и рабочей документации», Постановлению Правительства Российской Федерации №87 от 16.02.2008 «О составе разделов проектной документации и требованиях к их содержанию».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Работы должны быть выполнены в соответствии в проектной документацией и ведомостью объёмов работ, принятый Заказчиком в Гарантийную эксплуатацию по Акту КС-11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b w:val="false"/>
                <w:b w:val="false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left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2.2.1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 соответствии с рабочей документацией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bCs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 w:eastAsia="Times New Roman" w:cs="Arial"/>
                <w:b w:val="false"/>
                <w:b w:val="false"/>
                <w:bCs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Arial" w:ascii="Calibri" w:hAnsi="Calibri"/>
                <w:b w:val="false"/>
                <w:bCs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left"/>
              <w:rPr>
                <w:shd w:fill="auto" w:val="clear"/>
              </w:rPr>
            </w:pPr>
            <w:r>
              <w:rPr>
                <w:kern w:val="0"/>
                <w:shd w:fill="auto" w:val="clear"/>
                <w:lang w:val="ru-RU" w:bidi="ar-SA"/>
              </w:rPr>
              <w:t>2.2.2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Гарантийный срок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bookmarkStart w:id="21" w:name="_Ref361337777"/>
            <w:r>
              <w:rPr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Гарантийный срок составляет 24 (двадцать четыре) месяца и начинает течь с даты подписания Сторонами Акта КС-11 </w:t>
            </w:r>
            <w:bookmarkEnd w:id="21"/>
            <w:r>
              <w:rPr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либо с даты прекращения (расторжения) Договора. Гарантийный срок может быть продлен в соответствии с условиями Договора.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Подробно требования к сроку и объему предоставления гарантий указаны в договоре подряда </w:t>
            </w:r>
            <w:r>
              <w:rPr>
                <w:i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(раздел № 7).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before="0" w:after="0"/>
              <w:jc w:val="left"/>
              <w:rPr>
                <w:rStyle w:val="Style17"/>
                <w:shd w:fill="auto" w:val="clear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порядку приемки результатов работ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2.3.1</w:t>
            </w:r>
          </w:p>
        </w:tc>
        <w:tc>
          <w:tcPr>
            <w:tcW w:w="10596" w:type="dxa"/>
            <w:tcBorders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284" w:leader="none"/>
              </w:tabs>
              <w:spacing w:before="0" w:after="0"/>
              <w:ind w:left="0" w:hanging="0"/>
              <w:contextualSpacing/>
              <w:jc w:val="left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 xml:space="preserve">Подробно к требованиям к порядку сдачи-приемки работ указаны в договоре подряда </w:t>
            </w:r>
            <w:r>
              <w:rPr>
                <w:i/>
                <w:kern w:val="0"/>
                <w:shd w:fill="auto" w:val="clear"/>
                <w:lang w:val="ru-RU" w:eastAsia="en-US" w:bidi="ar-SA"/>
              </w:rPr>
              <w:t>(раздел № 4).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оформлению документации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2.4.1.</w:t>
            </w:r>
          </w:p>
        </w:tc>
        <w:tc>
          <w:tcPr>
            <w:tcW w:w="10596" w:type="dxa"/>
            <w:tcBorders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284" w:leader="none"/>
              </w:tabs>
              <w:spacing w:before="0" w:after="0"/>
              <w:ind w:left="0" w:hanging="0"/>
              <w:contextualSpacing/>
              <w:jc w:val="left"/>
              <w:rPr>
                <w:shd w:fill="auto" w:val="clear"/>
              </w:rPr>
            </w:pPr>
            <w:r>
              <w:rPr>
                <w:bCs/>
                <w:kern w:val="0"/>
                <w:shd w:fill="auto" w:val="clear"/>
                <w:lang w:val="ru-RU" w:bidi="ar-SA"/>
              </w:rPr>
              <w:t>Промежуточные (ежемесячные) объемы выполненных работ оформляются актом освидетельствования выполненных работ с приложением приемо-сдаточной и Исполнительной документации. По завершению выполнения работ по договору подряда оформляется а</w:t>
            </w:r>
            <w:r>
              <w:rPr>
                <w:kern w:val="0"/>
                <w:shd w:fill="auto" w:val="clear"/>
                <w:lang w:val="ru-RU" w:bidi="ar-SA"/>
              </w:rPr>
              <w:t xml:space="preserve">кт КС-2 </w:t>
            </w:r>
            <w:r>
              <w:rPr>
                <w:bCs/>
                <w:kern w:val="0"/>
                <w:shd w:fill="auto" w:val="clear"/>
                <w:lang w:val="ru-RU" w:bidi="ar-SA"/>
              </w:rPr>
              <w:t>и с</w:t>
            </w:r>
            <w:r>
              <w:rPr>
                <w:kern w:val="0"/>
                <w:shd w:fill="auto" w:val="clear"/>
                <w:lang w:val="ru-RU" w:bidi="ar-SA"/>
              </w:rPr>
              <w:t xml:space="preserve">правка КС-3 </w:t>
            </w:r>
            <w:r>
              <w:rPr>
                <w:bCs/>
                <w:kern w:val="0"/>
                <w:shd w:fill="auto" w:val="clear"/>
                <w:lang w:val="ru-RU" w:bidi="ar-SA"/>
              </w:rPr>
              <w:t xml:space="preserve">с приложением приемо-сдаточной и Исполнительной документации. Подробные требования указаны в договоре подряда </w:t>
            </w:r>
            <w:r>
              <w:rPr>
                <w:i/>
                <w:kern w:val="0"/>
                <w:shd w:fill="auto" w:val="clear"/>
                <w:lang w:val="ru-RU" w:eastAsia="en-US" w:bidi="ar-SA"/>
              </w:rPr>
              <w:t>(раздел № 4).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4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hd w:fill="auto" w:val="clear"/>
                <w:lang w:val="ru-RU" w:bidi="ar-SA"/>
              </w:rPr>
              <w:t>3.3.1</w:t>
            </w:r>
          </w:p>
        </w:tc>
        <w:tc>
          <w:tcPr>
            <w:tcW w:w="10596" w:type="dxa"/>
            <w:tcBorders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Приказ Ростехнадзора от 15.12.2020 №536 "Об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 (Зарегистрировано в Минюсте России 31.12.2020 №61998)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Решение Коллегии Евразийской экономической комиссии от 15.11.2016 № 147 "О порядке введения в действие изменений в технический регламент Таможенного союза "О безопасности машин и оборудования" (ТР ТС 010/2011)"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Решение Коллегии Евразийской экономической комиссии от 15.10.2013 №218 "О порядке введения в действие технического регламента Таможенного союза "О безопасности оборудования, работающего под избыточным давлением" (ТР ТС 032/2013)"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Градостроительный кодекс РФ.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Положение о составе разделов проектной документации и требования к их содержанию, утвержденное Постановлением Правительства РФ от 16.02.2008 №87.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ФНиП «Правил безопасности химически опасных производственных объектов».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№116-ФЗ от 21.07.1997 «О промышленной безопасности опасных производственных объектов».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от 23.11.2009 №261-Ф3 «Об энергосбережении и повышении энергетической эффективности и о внесении изменений в отдельные законодательные акты РФ».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от 27.12.2002 №184-ФЗ «О техническом регулировании».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от 30.12.2009 № 84-ФЗ «Технический регламент о безопасности зданий и сооружений.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от 22.07.2008 №123-ФЗ «Технический регламент о требованиях пожарной безопасности».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Технический регламент Таможенного союза ТР ТС 010/2011 «О безопасности машин и оборудования, утверждённый комиссией Таможенного союза 18.10.2011 №823.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ПУЭ «Правила устройства электроустановок», 6 и 7 издания (с изменениями).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СП 256.1325800.2016 «Электроустановки жилых и общественных зданий. Правила проектирования и монтажа».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НТП ЭПП-94 Проектирование электроснабжения промышленных предприятий. Нормы технологического проектирования.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РТМ 36.18.32.4-92 «Указания по расчету электрических нагрузок».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ГОСТ 31565 – 2012 «Кабельные изделия. Требования пожарной безопасности». Актуализированная редакция СНиП 31-06- 2009 (п. 7.19).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№ 261-ФЗ «Об энергосбережении</w:t>
            </w:r>
            <w:r>
              <w:rPr>
                <w:kern w:val="0"/>
                <w:shd w:fill="auto" w:val="clear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и о повышении энергетической эффективности и о внесении изменений в отдельные законодательные акты Российской Федерации» от 23.11.2009.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Федеральный закон №116 ФЗ «О промышленной безопасности опасных производственных объектов».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СП 48.13330.2019 «Организация строительства».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СНиП 3.05.07-85 «Системы автоматизации».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СНиП 3.05.06-85 «Электротехнические устройства».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СНиП II-58-75 «Электростанции тепловые».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ГОСТ 24.104-85 «Автоматизированные системы управления. Общие требования».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ГОСТ 34.603-92 «Виды испытаний автоматизированных систем».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ГОСТ 12.2.003-91 «Система стандартов безопасности труда. Оборудование производственное. Общие требования безопасности».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РД 34.03.201-97 «Правила техники безопасности при эксплуатации тепломеханического оборудования электростанций и тепловых сетей».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«Правила по охране труда при эксплуатации электроустановок» Приказ Минтруда России от 15.12.2020 №903н.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Приказ Минтруда России от 27.11.2020 №835н «Об утверждении Правил по охране труда при работе с инструментом и приспособлениями».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РД 153-34.0-03.301-00 «Правила пожарной безопасности для энергетических предприятий».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Приказ Минэнерго России от 04.10.2022 №1070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13.09.2018 №757, от 12.07.2018 №548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РД 34.03.284-96 «Инструкция по организации и производству работ повышенной опасности».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ind w:left="142" w:hanging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Заводские инструкции и ТУ на оборудование.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2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4.1.1.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kern w:val="0"/>
                <w:sz w:val="24"/>
                <w:szCs w:val="24"/>
                <w:shd w:fill="auto" w:val="clear"/>
                <w:lang w:val="ru-RU" w:bidi="ar-SA"/>
              </w:rPr>
              <w:t>(раздел 6)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center"/>
              <w:rPr>
                <w:shd w:fill="auto" w:val="clear"/>
              </w:rPr>
            </w:pPr>
            <w:r>
              <w:rPr>
                <w:b/>
                <w:bCs/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4.1.2.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Требования к гарантии подрядчик подробно указано в договоре подряда </w:t>
            </w:r>
            <w:r>
              <w:rPr>
                <w:i/>
                <w:kern w:val="0"/>
                <w:sz w:val="24"/>
                <w:szCs w:val="24"/>
                <w:shd w:fill="auto" w:val="clear"/>
                <w:lang w:val="ru-RU" w:bidi="ar-SA"/>
              </w:rPr>
              <w:t>(раздел 7)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b w:val="false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shd w:fill="auto" w:val="clear"/>
                <w:lang w:val="ru-RU" w:bidi="ar-SA"/>
              </w:rPr>
            </w:pPr>
            <w:r>
              <w:rPr>
                <w:shd w:fill="auto" w:val="clear"/>
                <w:lang w:val="ru-RU" w:bidi="ar-SA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-//-</w:t>
            </w:r>
          </w:p>
        </w:tc>
      </w:tr>
      <w:tr>
        <w:trPr/>
        <w:tc>
          <w:tcPr>
            <w:tcW w:w="86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5.1.1.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обязательствам подрядчика, влияющим на исполнение договора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>
          <w:trHeight w:val="43" w:hRule="atLeast"/>
        </w:trPr>
        <w:tc>
          <w:tcPr>
            <w:tcW w:w="86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568" w:hanging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обязательствам подрядчика подробно указаны в договоре подряда (</w:t>
            </w:r>
            <w:r>
              <w:rPr>
                <w:i/>
                <w:kern w:val="0"/>
                <w:sz w:val="24"/>
                <w:szCs w:val="24"/>
                <w:shd w:fill="auto" w:val="clear"/>
                <w:lang w:val="ru-RU" w:bidi="ar-SA"/>
              </w:rPr>
              <w:t>раздел 2)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86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5.1.2.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Требования к субподрядным организациям привлекаемым к выполнению работ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6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i/>
                <w:iCs/>
                <w:kern w:val="0"/>
                <w:sz w:val="24"/>
                <w:szCs w:val="24"/>
                <w:shd w:fill="auto" w:val="clear"/>
                <w:lang w:val="ru-RU" w:bidi="ar-SA"/>
              </w:rPr>
              <w:t>В случае привлечения к выполнению работ субподрядных организаций, подрядчик обязан письменно согласовать с Заказчиком привлекаемую субподрядную организацию с предоставлением заказчику на момент согласования договора субподряда документов, подтверждающие соответствие их квалификационного уровня, а также готовность и возможность выполнения ими работ, а также документы указанные в п .2.4.2 договора подряда.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6.</w:t>
            </w:r>
          </w:p>
        </w:tc>
        <w:tc>
          <w:tcPr>
            <w:tcW w:w="1059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hd w:fill="auto" w:val="clear"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bidi="ar-SA"/>
              </w:rPr>
              <w:t>Прочие требования к выполняемым работам</w:t>
            </w:r>
          </w:p>
        </w:tc>
        <w:tc>
          <w:tcPr>
            <w:tcW w:w="212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Согласие с требованиями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Calibri" w:hAnsi="Calibri"/>
                <w:shd w:fill="auto" w:val="clear"/>
              </w:rPr>
            </w:pPr>
            <w:r>
              <w:rPr>
                <w:rFonts w:eastAsia="Times New Roman" w:cs="Times New Roman" w:ascii="Calibri" w:hAnsi="Calibri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</w:t>
            </w:r>
          </w:p>
        </w:tc>
      </w:tr>
      <w:tr>
        <w:trPr>
          <w:trHeight w:val="77" w:hRule="atLeast"/>
        </w:trPr>
        <w:tc>
          <w:tcPr>
            <w:tcW w:w="86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 w:val="false"/>
                <w:bCs w:val="false"/>
                <w:kern w:val="0"/>
                <w:sz w:val="24"/>
                <w:szCs w:val="24"/>
              </w:rPr>
              <w:t>6.1.1.</w:t>
            </w:r>
          </w:p>
        </w:tc>
        <w:tc>
          <w:tcPr>
            <w:tcW w:w="10596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color="FFFFFF" w:themeColor="background1" w:fill="FFFFFF" w:themeFill="background1"/>
              <w:spacing w:lineRule="atLeast" w:line="57" w:before="0" w:after="0"/>
              <w:ind w:left="360" w:hanging="0"/>
              <w:contextualSpacing/>
              <w:jc w:val="both"/>
              <w:rPr>
                <w:highlight w:val="white"/>
              </w:rPr>
            </w:pPr>
            <w:r>
              <w:rPr>
                <w:color w:val="000000" w:themeColor="text1"/>
                <w:kern w:val="0"/>
                <w:highlight w:val="white"/>
                <w:lang w:val="ru-RU" w:eastAsia="ru-RU" w:bidi="ar-SA"/>
              </w:rPr>
              <w:t>1.Все замечания, а также несоответствия рабочей документации и проектных решений требованиям действующих нормативных и законодательных актов, устраняются «Подрядчиком» за счет собственных сил и средств, с внесением необходимых исправлений и изменений в документацию.</w:t>
            </w:r>
          </w:p>
          <w:p>
            <w:pPr>
              <w:pStyle w:val="ListParagraph"/>
              <w:widowControl w:val="false"/>
              <w:shd w:val="clear" w:color="FFFFFF" w:themeColor="background1" w:fill="FFFFFF" w:themeFill="background1"/>
              <w:spacing w:lineRule="atLeast" w:line="57" w:before="0" w:after="0"/>
              <w:ind w:left="0" w:hanging="0"/>
              <w:contextualSpacing/>
              <w:jc w:val="both"/>
              <w:rPr>
                <w:highlight w:val="white"/>
              </w:rPr>
            </w:pPr>
            <w:r>
              <w:rPr>
                <w:color w:val="000000" w:themeColor="text1"/>
                <w:kern w:val="0"/>
                <w:highlight w:val="white"/>
                <w:lang w:val="ru-RU" w:eastAsia="ru-RU" w:bidi="ar-SA"/>
              </w:rPr>
              <w:t>2. При выполнении работ учесть основные технические характеристики оборудования Нерюнгринской ГРЭС.</w:t>
            </w:r>
            <w:r>
              <w:rPr>
                <w:kern w:val="0"/>
                <w:highlight w:val="white"/>
                <w:lang w:val="ru-RU" w:eastAsia="ru-RU" w:bidi="ar-SA"/>
              </w:rPr>
              <w:t>.</w:t>
            </w:r>
          </w:p>
          <w:p>
            <w:pPr>
              <w:pStyle w:val="ListParagraph"/>
              <w:widowControl w:val="false"/>
              <w:shd w:val="clear" w:color="FFFFFF" w:themeColor="background1" w:fill="FFFFFF" w:themeFill="background1"/>
              <w:spacing w:lineRule="atLeast" w:line="57" w:before="0" w:after="0"/>
              <w:ind w:left="0" w:hanging="0"/>
              <w:contextualSpacing/>
              <w:jc w:val="both"/>
              <w:rPr>
                <w:highlight w:val="white"/>
              </w:rPr>
            </w:pPr>
            <w:r>
              <w:rPr>
                <w:color w:val="000000" w:themeColor="text1"/>
                <w:kern w:val="0"/>
                <w:highlight w:val="white"/>
                <w:lang w:val="ru-RU" w:eastAsia="ru-RU" w:bidi="ar-SA"/>
              </w:rPr>
              <w:t>3. В составе рабочей документации предусмотреть: сборочные и деталировочные чертежи, опросные листы для изготовления и заказа необходимого оборудования, узлов и деталей, а также выполнение всего комплекса работ по реализации объекта</w:t>
            </w:r>
            <w:r>
              <w:rPr>
                <w:kern w:val="0"/>
                <w:highlight w:val="white"/>
                <w:lang w:val="ru-RU" w:eastAsia="ru-RU" w:bidi="ar-SA"/>
              </w:rPr>
              <w:t>.</w:t>
            </w:r>
          </w:p>
          <w:p>
            <w:pPr>
              <w:pStyle w:val="ListParagraph"/>
              <w:widowControl w:val="false"/>
              <w:shd w:val="clear" w:color="FFFFFF" w:themeColor="background1" w:fill="FFFFFF" w:themeFill="background1"/>
              <w:spacing w:lineRule="atLeast" w:line="57" w:before="0" w:after="0"/>
              <w:ind w:left="0" w:hanging="0"/>
              <w:contextualSpacing/>
              <w:jc w:val="both"/>
              <w:rPr>
                <w:highlight w:val="white"/>
              </w:rPr>
            </w:pPr>
            <w:r>
              <w:rPr>
                <w:kern w:val="0"/>
                <w:highlight w:val="white"/>
                <w:lang w:val="ru-RU" w:eastAsia="ru-RU" w:bidi="ar-SA"/>
              </w:rPr>
              <w:t>4. Указать в опросных листах технические характеристики и конструктивные исполнения оборудования, которые требуют при поставке заводы-изготовители.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>5. Состав сметной документации должен включать в себя в том числе: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>- локальные сметы (сметные расчеты) на отдельные виды работ, которые необходимо выполнить по данному объекту;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>- ведомости объёмов работ;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>- прайс-листы и технико-коммерческие предложения на материалы и оборудование.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6. Вся разрабатываемая документация должна быть согласована в требуемом объёме с АО «ДГК» СП «Нерюнгринская ГРЭС», </w:t>
            </w:r>
            <w:r>
              <w:rPr>
                <w:kern w:val="0"/>
                <w:sz w:val="24"/>
                <w:szCs w:val="24"/>
                <w:highlight w:val="white"/>
                <w:shd w:fill="FFFFFF" w:val="clear"/>
                <w:lang w:val="ru-RU" w:eastAsia="ru-RU" w:bidi="ar-SA"/>
              </w:rPr>
              <w:t xml:space="preserve">и собственниками объектов, технологически </w:t>
            </w:r>
            <w:r>
              <w:rPr>
                <w:kern w:val="0"/>
                <w:sz w:val="24"/>
                <w:szCs w:val="24"/>
                <w:highlight w:val="white"/>
                <w:shd w:fill="FFFF00" w:val="clear"/>
                <w:lang w:val="ru-RU" w:eastAsia="ru-RU" w:bidi="ar-SA"/>
              </w:rPr>
              <w:t>связанных с объекто</w:t>
            </w:r>
            <w:r>
              <w:rPr>
                <w:kern w:val="0"/>
                <w:sz w:val="24"/>
                <w:szCs w:val="24"/>
                <w:highlight w:val="white"/>
                <w:shd w:fill="FFFFFF" w:val="clear"/>
                <w:lang w:val="ru-RU" w:eastAsia="ru-RU" w:bidi="ar-SA"/>
              </w:rPr>
              <w:t xml:space="preserve">м </w:t>
            </w:r>
            <w:r>
              <w:rPr>
                <w:kern w:val="0"/>
                <w:sz w:val="24"/>
                <w:szCs w:val="24"/>
                <w:highlight w:val="white"/>
                <w:shd w:fill="FFFF00" w:val="clear"/>
                <w:lang w:val="ru-RU" w:eastAsia="ru-RU" w:bidi="ar-SA"/>
              </w:rPr>
              <w:t>проектирования</w:t>
            </w:r>
            <w:r>
              <w:rPr>
                <w:kern w:val="0"/>
                <w:sz w:val="24"/>
                <w:szCs w:val="24"/>
                <w:highlight w:val="white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highlight w:val="white"/>
                <w:shd w:fill="FFFF00" w:val="clear"/>
                <w:lang w:val="ru-RU" w:eastAsia="ru-RU" w:bidi="ar-SA"/>
              </w:rPr>
              <w:t>(при</w:t>
            </w:r>
            <w:r>
              <w:rPr>
                <w:kern w:val="0"/>
                <w:sz w:val="24"/>
                <w:szCs w:val="24"/>
                <w:highlight w:val="white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highlight w:val="white"/>
                <w:shd w:fill="FFFF00" w:val="clear"/>
                <w:lang w:val="ru-RU" w:eastAsia="ru-RU" w:bidi="ar-SA"/>
              </w:rPr>
              <w:t>наличии).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kern w:val="0"/>
                <w:sz w:val="24"/>
                <w:szCs w:val="24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eastAsia="ru-RU" w:bidi="ar-SA"/>
              </w:rPr>
              <w:t>7.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Adobe Acrobat.</w:t>
            </w:r>
          </w:p>
          <w:p>
            <w:pPr>
              <w:pStyle w:val="Style23"/>
              <w:widowControl w:val="false"/>
              <w:shd w:val="clear" w:color="FFFFFF" w:themeColor="background1" w:fill="FFFFFF" w:themeFill="background1"/>
              <w:spacing w:lineRule="atLeast" w:line="57" w:before="0" w:after="0"/>
              <w:contextualSpacing/>
              <w:jc w:val="both"/>
              <w:rPr>
                <w:kern w:val="0"/>
                <w:sz w:val="24"/>
                <w:szCs w:val="24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допускается передача документации в формате Adobe Acrobat с пофайловым разделением страниц.</w:t>
            </w:r>
          </w:p>
          <w:p>
            <w:pPr>
              <w:pStyle w:val="ListParagraph"/>
              <w:widowControl w:val="false"/>
              <w:shd w:val="clear" w:color="FFFFFF" w:themeColor="background1" w:fill="FFFFFF" w:themeFill="background1"/>
              <w:spacing w:lineRule="atLeast" w:line="57" w:before="0" w:after="0"/>
              <w:ind w:left="0" w:hanging="0"/>
              <w:contextualSpacing/>
              <w:jc w:val="both"/>
              <w:rPr>
                <w:lang w:val="ru-RU" w:eastAsia="ru-RU" w:bidi="ar-SA"/>
              </w:rPr>
            </w:pPr>
            <w:r>
              <w:rPr>
                <w:kern w:val="0"/>
                <w:highlight w:val="white"/>
                <w:lang w:val="ru-RU" w:eastAsia="ru-RU" w:bidi="ar-SA"/>
              </w:rPr>
              <w:t>8. При направлении откорректированных материалов ПД (РД) Подрядчиком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contextualSpacing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Работы выполняются согласно условиям договора подряда и настоящих технических требований.</w:t>
            </w:r>
          </w:p>
        </w:tc>
        <w:tc>
          <w:tcPr>
            <w:tcW w:w="2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before="0" w:after="0"/>
              <w:ind w:left="0" w:right="0" w:hanging="0"/>
              <w:contextualSpacing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tcBorders>
              <w:top w:val="nil"/>
            </w:tcBorders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right="0" w:hanging="0"/>
              <w:contextualSpacing/>
              <w:jc w:val="center"/>
              <w:outlineLvl w:val="2"/>
              <w:rPr>
                <w:rFonts w:ascii="Calibri" w:hAnsi="Calibri" w:eastAsia="Calibri" w:cs="Arial"/>
                <w:sz w:val="20"/>
                <w:szCs w:val="20"/>
                <w:lang w:val="ru-RU" w:eastAsia="ru-RU" w:bidi="ar-SA"/>
              </w:rPr>
            </w:pPr>
            <w:r>
              <w:rPr>
                <w:rFonts w:eastAsia="Calibri" w:cs="Arial" w:ascii="Calibri" w:hAnsi="Calibri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2"/>
          <w:headerReference w:type="first" r:id="rId3"/>
          <w:footerReference w:type="default" r:id="rId4"/>
          <w:footerReference w:type="first" r:id="rId5"/>
          <w:type w:val="nextPage"/>
          <w:pgSz w:orient="landscape" w:w="16838" w:h="11906"/>
          <w:pgMar w:left="992" w:right="567" w:header="680" w:top="851" w:footer="154" w:bottom="851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1"/>
        <w:keepLines/>
        <w:numPr>
          <w:ilvl w:val="0"/>
          <w:numId w:val="1"/>
        </w:numPr>
        <w:ind w:left="357" w:hanging="357"/>
        <w:jc w:val="center"/>
        <w:rPr>
          <w:shd w:fill="auto" w:val="clear"/>
        </w:rPr>
      </w:pPr>
      <w:bookmarkStart w:id="22" w:name="_Toc54646411"/>
      <w:bookmarkStart w:id="23" w:name="_Toc53393312"/>
      <w:r>
        <w:rPr>
          <w:sz w:val="24"/>
          <w:szCs w:val="24"/>
          <w:shd w:fill="auto" w:val="clear"/>
        </w:rPr>
        <w:t>ТРЕБОВАНИЯ К ДОКУМЕНТАЦИИ ПО ЦЕНООБРАЗОВАНИЮ</w:t>
      </w:r>
      <w:bookmarkEnd w:id="23"/>
      <w:r>
        <w:rPr>
          <w:sz w:val="24"/>
          <w:szCs w:val="24"/>
          <w:shd w:fill="auto" w:val="clear"/>
        </w:rPr>
        <w:t xml:space="preserve"> НА ЭТАПЕ ЗАКУПКИ</w:t>
      </w:r>
      <w:bookmarkEnd w:id="22"/>
    </w:p>
    <w:p>
      <w:pPr>
        <w:pStyle w:val="Normal"/>
        <w:ind w:left="0" w:right="0" w:firstLine="709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>3.1.</w:t>
        <w:tab/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ind w:left="0" w:right="0" w:firstLine="709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>3.2.</w:t>
        <w:tab/>
        <w:t>Дополнительные документы по ценообразованию (сметная документация) в состав заявки Участника не включаются».</w:t>
      </w:r>
    </w:p>
    <w:p>
      <w:pPr>
        <w:pStyle w:val="Normal"/>
        <w:ind w:left="0" w:right="0" w:firstLine="709"/>
        <w:jc w:val="both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1"/>
        <w:keepLines/>
        <w:numPr>
          <w:ilvl w:val="0"/>
          <w:numId w:val="1"/>
        </w:numPr>
        <w:ind w:left="0" w:right="0" w:firstLine="709"/>
        <w:jc w:val="center"/>
        <w:rPr>
          <w:shd w:fill="auto" w:val="clear"/>
        </w:rPr>
      </w:pPr>
      <w:bookmarkStart w:id="24" w:name="_Toc54646412"/>
      <w:r>
        <w:rPr>
          <w:sz w:val="24"/>
          <w:szCs w:val="24"/>
          <w:shd w:fill="auto" w:val="clear"/>
        </w:rPr>
        <w:t>ТРЕБОВАНИЯ К ДОКУМЕНТАЦИИ ПО ЦЕНООБРАЗОВАНИЮ НА ЭТАПЕ ЗАКЛЮЧЕНИЯ (ИСПОЛНЕНИЯ) ДОГОВОРА</w:t>
      </w:r>
      <w:bookmarkEnd w:id="24"/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left="0" w:right="0" w:firstLine="709"/>
        <w:jc w:val="both"/>
        <w:rPr>
          <w:highlight w:val="white"/>
          <w:shd w:fill="auto" w:val="clear"/>
        </w:rPr>
      </w:pPr>
      <w:r>
        <w:rPr>
          <w:sz w:val="24"/>
          <w:szCs w:val="24"/>
          <w:shd w:fill="auto" w:val="clear"/>
        </w:rPr>
        <w:t>4.1.</w:t>
      </w:r>
      <w:r>
        <w:rPr>
          <w:sz w:val="24"/>
          <w:szCs w:val="24"/>
          <w:highlight w:val="white"/>
          <w:shd w:fill="auto" w:val="clear"/>
        </w:rPr>
        <w:t xml:space="preserve"> По результатам настоящей закупки заключается договор с предельной ценой, в т.ч. с предельной ценой Проектных работ, </w:t>
      </w:r>
      <w:r>
        <w:rPr>
          <w:color w:val="000000" w:themeColor="text1"/>
          <w:sz w:val="24"/>
          <w:szCs w:val="24"/>
          <w:highlight w:val="white"/>
          <w:shd w:fill="auto" w:val="clear"/>
        </w:rPr>
        <w:t xml:space="preserve">твердой </w:t>
      </w:r>
      <w:r>
        <w:rPr>
          <w:bCs/>
          <w:color w:val="000000" w:themeColor="text1"/>
          <w:sz w:val="24"/>
          <w:szCs w:val="24"/>
          <w:highlight w:val="white"/>
          <w:shd w:fill="auto" w:val="clear"/>
        </w:rPr>
        <w:t xml:space="preserve">ценой Оборудования, </w:t>
      </w:r>
      <w:r>
        <w:rPr>
          <w:color w:val="000000" w:themeColor="text1"/>
          <w:sz w:val="24"/>
          <w:szCs w:val="24"/>
          <w:highlight w:val="white"/>
          <w:shd w:fill="auto" w:val="clear"/>
        </w:rPr>
        <w:t xml:space="preserve"> Предельной </w:t>
      </w:r>
      <w:r>
        <w:rPr>
          <w:bCs/>
          <w:color w:val="000000" w:themeColor="text1"/>
          <w:sz w:val="24"/>
          <w:szCs w:val="24"/>
          <w:highlight w:val="white"/>
          <w:shd w:fill="auto" w:val="clear"/>
        </w:rPr>
        <w:t>ценой Работ (без учета О</w:t>
      </w:r>
      <w:r>
        <w:rPr>
          <w:color w:val="000000" w:themeColor="text1"/>
          <w:sz w:val="24"/>
          <w:szCs w:val="24"/>
          <w:highlight w:val="white"/>
          <w:shd w:fill="auto" w:val="clear"/>
        </w:rPr>
        <w:t>борудования</w:t>
      </w:r>
      <w:r>
        <w:rPr>
          <w:bCs/>
          <w:color w:val="000000" w:themeColor="text1"/>
          <w:sz w:val="24"/>
          <w:szCs w:val="24"/>
          <w:highlight w:val="white"/>
          <w:shd w:fill="auto" w:val="clear"/>
        </w:rPr>
        <w:t xml:space="preserve">). </w:t>
      </w:r>
    </w:p>
    <w:p>
      <w:pPr>
        <w:pStyle w:val="Normal"/>
        <w:tabs>
          <w:tab w:val="clear" w:pos="708"/>
          <w:tab w:val="left" w:pos="0" w:leader="none"/>
        </w:tabs>
        <w:ind w:left="0" w:right="0" w:firstLine="709"/>
        <w:jc w:val="both"/>
        <w:rPr>
          <w:highlight w:val="white"/>
          <w:shd w:fill="auto" w:val="clear"/>
        </w:rPr>
      </w:pPr>
      <w:r>
        <w:rPr>
          <w:sz w:val="24"/>
          <w:szCs w:val="24"/>
          <w:highlight w:val="white"/>
          <w:shd w:fill="auto" w:val="clear"/>
        </w:rPr>
        <w:t>При исполнении договора разработка сметной документации осуществляется в соответствии с Приложением №1 к настоящим Техническим требованиям «Требования к оформлению и составлению документации по ценообразованию».</w:t>
      </w:r>
    </w:p>
    <w:p>
      <w:pPr>
        <w:pStyle w:val="Normal"/>
        <w:tabs>
          <w:tab w:val="clear" w:pos="708"/>
          <w:tab w:val="left" w:pos="0" w:leader="none"/>
        </w:tabs>
        <w:ind w:left="0" w:right="0" w:firstLine="709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>4.2. В случае, если стоимость по разработанной смете Подрядчика будет превышать предельную стоимость, указанную в Договоре,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Normal"/>
        <w:tabs>
          <w:tab w:val="clear" w:pos="708"/>
          <w:tab w:val="left" w:pos="0" w:leader="none"/>
        </w:tabs>
        <w:ind w:left="0" w:right="0" w:firstLine="709"/>
        <w:jc w:val="both"/>
        <w:rPr>
          <w:shd w:fill="auto" w:val="clear"/>
        </w:rPr>
      </w:pPr>
      <w:r>
        <w:rPr>
          <w:sz w:val="24"/>
          <w:szCs w:val="24"/>
          <w:shd w:fill="auto" w:val="clear"/>
        </w:rPr>
        <w:t>4.3. В случае, если стоимость по разработанной смете Подрядчика будет ниже стоимости, указанной в Договоре, взаиморасчеты будут осуществляться по данной смете без увеличения стоимости, указанной в Договоре.</w:t>
      </w:r>
    </w:p>
    <w:p>
      <w:pPr>
        <w:pStyle w:val="Normal"/>
        <w:ind w:left="0" w:right="0" w:firstLine="709"/>
        <w:jc w:val="both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Normal"/>
        <w:jc w:val="both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1"/>
        <w:keepLines/>
        <w:numPr>
          <w:ilvl w:val="0"/>
          <w:numId w:val="1"/>
        </w:numPr>
        <w:spacing w:before="0" w:after="0"/>
        <w:ind w:left="357" w:hanging="357"/>
        <w:jc w:val="center"/>
        <w:rPr>
          <w:shd w:fill="auto" w:val="clear"/>
        </w:rPr>
      </w:pPr>
      <w:bookmarkStart w:id="25" w:name="_Toc51339699"/>
      <w:bookmarkStart w:id="26" w:name="_Toc46743519"/>
      <w:bookmarkStart w:id="27" w:name="_Toc54646413"/>
      <w:r>
        <w:rPr>
          <w:iCs/>
          <w:sz w:val="24"/>
          <w:szCs w:val="24"/>
          <w:shd w:fill="auto" w:val="clear"/>
        </w:rPr>
        <w:t>ПРИЛОЖЕНИЯ</w:t>
      </w:r>
      <w:bookmarkEnd w:id="25"/>
      <w:bookmarkEnd w:id="26"/>
      <w:bookmarkEnd w:id="27"/>
    </w:p>
    <w:p>
      <w:pPr>
        <w:pStyle w:val="Normal"/>
        <w:jc w:val="both"/>
        <w:rPr>
          <w:shd w:fill="auto" w:val="clear"/>
        </w:rPr>
      </w:pPr>
      <w:r>
        <w:rPr>
          <w:bCs/>
          <w:sz w:val="24"/>
          <w:szCs w:val="24"/>
          <w:shd w:fill="auto" w:val="clear"/>
        </w:rPr>
        <w:t xml:space="preserve">Приложение №1 Требования к оформлению и составлению документации по ценообразованию. </w:t>
      </w:r>
    </w:p>
    <w:p>
      <w:pPr>
        <w:pStyle w:val="Normal"/>
        <w:jc w:val="both"/>
        <w:rPr>
          <w:shd w:fill="auto" w:val="clear"/>
        </w:rPr>
      </w:pPr>
      <w:r>
        <w:rPr>
          <w:bCs/>
          <w:sz w:val="24"/>
          <w:szCs w:val="24"/>
          <w:shd w:fill="auto" w:val="clear"/>
        </w:rPr>
        <w:t>Приложение №2 Задание на проектирование.</w:t>
      </w:r>
    </w:p>
    <w:p>
      <w:pPr>
        <w:pStyle w:val="Normal"/>
        <w:jc w:val="both"/>
        <w:rPr>
          <w:shd w:fill="auto" w:val="clear"/>
        </w:rPr>
      </w:pPr>
      <w:r>
        <w:rPr>
          <w:bCs/>
          <w:sz w:val="24"/>
          <w:szCs w:val="24"/>
          <w:shd w:fill="auto" w:val="clear"/>
        </w:rPr>
        <w:t xml:space="preserve">Приложение №3 </w:t>
      </w:r>
      <w:r>
        <w:rPr>
          <w:sz w:val="24"/>
          <w:szCs w:val="24"/>
          <w:shd w:fill="auto" w:val="clear"/>
        </w:rPr>
        <w:t>Положение о допуске персонала подрядных организаций к выполнению работ на объектах АО «ДГК» 22.1-504-2025.</w:t>
      </w:r>
    </w:p>
    <w:sectPr>
      <w:headerReference w:type="default" r:id="rId6"/>
      <w:headerReference w:type="first" r:id="rId7"/>
      <w:footerReference w:type="default" r:id="rId8"/>
      <w:footerReference w:type="first" r:id="rId9"/>
      <w:type w:val="nextPage"/>
      <w:pgSz w:w="11906" w:h="16838"/>
      <w:pgMar w:left="1134" w:right="707" w:header="680" w:top="737" w:footer="0" w:bottom="992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>
        <w:sz w:val="20"/>
        <w:szCs w:val="20"/>
      </w:rPr>
    </w:pPr>
    <w:r>
      <w:rPr>
        <w:sz w:val="20"/>
        <w:szCs w:val="20"/>
      </w:rPr>
      <w:t xml:space="preserve">Страница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PAGE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14</w:t>
    </w:r>
    <w:r>
      <w:rPr>
        <w:sz w:val="20"/>
        <w:b/>
        <w:szCs w:val="20"/>
        <w:bCs/>
      </w:rPr>
      <w:fldChar w:fldCharType="end"/>
    </w:r>
    <w:r>
      <w:rPr>
        <w:sz w:val="20"/>
        <w:szCs w:val="20"/>
      </w:rPr>
      <w:t xml:space="preserve"> из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NUMPAGES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15</w:t>
    </w:r>
    <w:r>
      <w:rPr>
        <w:sz w:val="20"/>
        <w:b/>
        <w:szCs w:val="20"/>
        <w:bCs/>
      </w:rPr>
      <w:fldChar w:fldCharType="end"/>
    </w:r>
  </w:p>
  <w:p>
    <w:pPr>
      <w:pStyle w:val="Style33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>
        <w:sz w:val="20"/>
        <w:szCs w:val="20"/>
      </w:rPr>
    </w:pPr>
    <w:r>
      <w:rPr>
        <w:sz w:val="20"/>
        <w:szCs w:val="20"/>
      </w:rPr>
      <w:t xml:space="preserve">Страница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PAGE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6</w:t>
    </w:r>
    <w:r>
      <w:rPr>
        <w:sz w:val="20"/>
        <w:b/>
        <w:szCs w:val="20"/>
        <w:bCs/>
      </w:rPr>
      <w:fldChar w:fldCharType="end"/>
    </w:r>
    <w:r>
      <w:rPr>
        <w:sz w:val="20"/>
        <w:szCs w:val="20"/>
      </w:rPr>
      <w:t xml:space="preserve"> из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NUMPAGES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15</w:t>
    </w:r>
    <w:r>
      <w:rPr>
        <w:sz w:val="20"/>
        <w:b/>
        <w:szCs w:val="20"/>
        <w:bCs/>
      </w:rPr>
      <w:fldChar w:fldCharType="end"/>
    </w:r>
  </w:p>
  <w:p>
    <w:pPr>
      <w:pStyle w:val="Style33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>
        <w:sz w:val="20"/>
        <w:szCs w:val="20"/>
      </w:rPr>
    </w:pPr>
    <w:r>
      <w:rPr>
        <w:sz w:val="20"/>
        <w:szCs w:val="20"/>
      </w:rPr>
      <w:t xml:space="preserve">Страница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PAGE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16</w:t>
    </w:r>
    <w:r>
      <w:rPr>
        <w:sz w:val="20"/>
        <w:b/>
        <w:szCs w:val="20"/>
        <w:bCs/>
      </w:rPr>
      <w:fldChar w:fldCharType="end"/>
    </w:r>
    <w:r>
      <w:rPr>
        <w:sz w:val="20"/>
        <w:szCs w:val="20"/>
      </w:rPr>
      <w:t xml:space="preserve"> из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NUMPAGES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15</w:t>
    </w:r>
    <w:r>
      <w:rPr>
        <w:sz w:val="20"/>
        <w:b/>
        <w:szCs w:val="20"/>
        <w:bCs/>
      </w:rPr>
      <w:fldChar w:fldCharType="end"/>
    </w:r>
  </w:p>
  <w:p>
    <w:pPr>
      <w:pStyle w:val="Style33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>
        <w:sz w:val="20"/>
        <w:szCs w:val="20"/>
      </w:rPr>
    </w:pPr>
    <w:r>
      <w:rPr>
        <w:sz w:val="20"/>
        <w:szCs w:val="20"/>
      </w:rPr>
      <w:t xml:space="preserve">Страница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PAGE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15</w:t>
    </w:r>
    <w:r>
      <w:rPr>
        <w:sz w:val="20"/>
        <w:b/>
        <w:szCs w:val="20"/>
        <w:bCs/>
      </w:rPr>
      <w:fldChar w:fldCharType="end"/>
    </w:r>
    <w:r>
      <w:rPr>
        <w:sz w:val="20"/>
        <w:szCs w:val="20"/>
      </w:rPr>
      <w:t xml:space="preserve"> из </w:t>
    </w:r>
    <w:r>
      <w:rPr>
        <w:b/>
        <w:bCs/>
        <w:sz w:val="20"/>
        <w:szCs w:val="20"/>
      </w:rPr>
      <w:fldChar w:fldCharType="begin"/>
    </w:r>
    <w:r>
      <w:rPr>
        <w:sz w:val="20"/>
        <w:b/>
        <w:szCs w:val="20"/>
        <w:bCs/>
      </w:rPr>
      <w:instrText> NUMPAGES </w:instrText>
    </w:r>
    <w:r>
      <w:rPr>
        <w:sz w:val="20"/>
        <w:b/>
        <w:szCs w:val="20"/>
        <w:bCs/>
      </w:rPr>
      <w:fldChar w:fldCharType="separate"/>
    </w:r>
    <w:r>
      <w:rPr>
        <w:sz w:val="20"/>
        <w:b/>
        <w:szCs w:val="20"/>
        <w:bCs/>
      </w:rPr>
      <w:t>15</w:t>
    </w:r>
    <w:r>
      <w:rPr>
        <w:sz w:val="20"/>
        <w:b/>
        <w:szCs w:val="20"/>
        <w:bCs/>
      </w:rPr>
      <w:fldChar w:fldCharType="end"/>
    </w:r>
  </w:p>
  <w:p>
    <w:pPr>
      <w:pStyle w:val="Style33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5038" w:hanging="360"/>
      </w:pPr>
      <w:rPr>
        <w:rFonts w:ascii="Wingdings" w:hAnsi="Wingdings" w:cs="Wingdings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szCs w:val="28"/>
        <w:iCs w:val="false"/>
        <w:bCs w:val="false"/>
        <w:vanish w:val="false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Normal"/>
    <w:qFormat/>
    <w:pPr>
      <w:outlineLvl w:val="1"/>
    </w:pPr>
    <w:rPr/>
  </w:style>
  <w:style w:type="paragraph" w:styleId="3">
    <w:name w:val="Heading 3"/>
    <w:basedOn w:val="Normal"/>
    <w:next w:val="Normal"/>
    <w:qFormat/>
    <w:pPr>
      <w:keepNext w:val="true"/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Normal"/>
    <w:qFormat/>
    <w:pPr>
      <w:outlineLvl w:val="3"/>
    </w:pPr>
    <w:rPr>
      <w:bCs/>
    </w:rPr>
  </w:style>
  <w:style w:type="paragraph" w:styleId="5">
    <w:name w:val="Heading 5"/>
    <w:basedOn w:val="Normal"/>
    <w:next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next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next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Style5">
    <w:name w:val="Интернет-ссылка"/>
    <w:uiPriority w:val="99"/>
    <w:unhideWhenUsed/>
    <w:rPr>
      <w:color w:val="0563C1" w:themeColor="hyperlink"/>
      <w:u w:val="single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Style7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8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9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uiPriority w:val="29"/>
    <w:qFormat/>
    <w:rPr>
      <w:i/>
    </w:rPr>
  </w:style>
  <w:style w:type="character" w:styleId="Style10" w:customStyle="1">
    <w:name w:val="Выделенная цитата Знак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11" w:customStyle="1">
    <w:name w:val="Текст концевой сноски Знак"/>
    <w:uiPriority w:val="99"/>
    <w:qFormat/>
    <w:rPr>
      <w:sz w:val="20"/>
    </w:rPr>
  </w:style>
  <w:style w:type="character" w:styleId="Style1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11" w:customStyle="1">
    <w:name w:val="Заголовок 1 Знак"/>
    <w:basedOn w:val="DefaultParagraphFont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22" w:customStyle="1">
    <w:name w:val="Заголовок 2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31" w:customStyle="1">
    <w:name w:val="Заголовок 3 Знак"/>
    <w:basedOn w:val="DefaultParagraphFont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41" w:customStyle="1">
    <w:name w:val="Заголовок 4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Style13" w:customStyle="1">
    <w:name w:val="Нижний колонтитул Знак"/>
    <w:uiPriority w:val="99"/>
    <w:qFormat/>
    <w:rPr/>
  </w:style>
  <w:style w:type="character" w:styleId="Style14" w:customStyle="1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" w:customStyle="1">
    <w:name w:val="Нижний колонтитул Знак1"/>
    <w:basedOn w:val="DefaultParagraphFont"/>
    <w:uiPriority w:val="99"/>
    <w:semiHidden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qFormat/>
    <w:rPr/>
  </w:style>
  <w:style w:type="character" w:styleId="Style15" w:customStyle="1">
    <w:name w:val="Текст примечания Знак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Абзац списка Знак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7" w:customStyle="1">
    <w:name w:val="комментарий"/>
    <w:qFormat/>
    <w:rPr>
      <w:b/>
      <w:i/>
      <w:shd w:fill="FFFF99" w:val="clear"/>
    </w:rPr>
  </w:style>
  <w:style w:type="character" w:styleId="Style18" w:customStyle="1">
    <w:name w:val="Текст сноски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9">
    <w:name w:val="Символ сноски"/>
    <w:uiPriority w:val="99"/>
    <w:semiHidden/>
    <w:qFormat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20" w:customStyle="1">
    <w:name w:val="Тема примечания Знак"/>
    <w:basedOn w:val="Style15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21" w:customStyle="1">
    <w:name w:val="Текст выноски Знак"/>
    <w:basedOn w:val="DefaultParagraphFon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Arial Unicode MS"/>
    </w:rPr>
  </w:style>
  <w:style w:type="paragraph" w:styleId="Style25">
    <w:name w:val="Caption"/>
    <w:basedOn w:val="Normal"/>
    <w:next w:val="Normal"/>
    <w:link w:val="870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Style26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7">
    <w:name w:val="Title"/>
    <w:basedOn w:val="Normal"/>
    <w:next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8">
    <w:name w:val="Subtitle"/>
    <w:basedOn w:val="Normal"/>
    <w:next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9">
    <w:name w:val="Endnote Text"/>
    <w:basedOn w:val="Normal"/>
    <w:uiPriority w:val="99"/>
    <w:semiHidden/>
    <w:unhideWhenUsed/>
    <w:pPr/>
    <w:rPr>
      <w:sz w:val="20"/>
    </w:rPr>
  </w:style>
  <w:style w:type="paragraph" w:styleId="13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30">
    <w:name w:val="Index Heading"/>
    <w:basedOn w:val="Style2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31">
    <w:name w:val="Колонтитул"/>
    <w:basedOn w:val="Normal"/>
    <w:qFormat/>
    <w:pPr/>
    <w:rPr/>
  </w:style>
  <w:style w:type="paragraph" w:styleId="Style32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3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Style34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5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6">
    <w:name w:val="Footnote Text"/>
    <w:basedOn w:val="Normal"/>
    <w:uiPriority w:val="99"/>
    <w:semiHidden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pPr/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Style3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92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926">
    <w:name w:val="Table Grid Light"/>
    <w:basedOn w:val="92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7">
    <w:name w:val="Plain Table 1"/>
    <w:basedOn w:val="92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928">
    <w:name w:val="Plain Table 2"/>
    <w:basedOn w:val="92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929">
    <w:name w:val="Plain Table 3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930">
    <w:name w:val="Plain Table 4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31">
    <w:name w:val="Plain Table 5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2">
    <w:name w:val="Grid Table 1 Light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3">
    <w:name w:val="Grid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4">
    <w:name w:val="Grid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5">
    <w:name w:val="Grid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6">
    <w:name w:val="Grid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7">
    <w:name w:val="Grid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8">
    <w:name w:val="Grid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39">
    <w:name w:val="Grid Table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0">
    <w:name w:val="Grid Table 2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1">
    <w:name w:val="Grid Table 2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2">
    <w:name w:val="Grid Table 2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3">
    <w:name w:val="Grid Table 2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4">
    <w:name w:val="Grid Table 2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5">
    <w:name w:val="Grid Table 2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6">
    <w:name w:val="Grid Table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7">
    <w:name w:val="Grid Table 3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8">
    <w:name w:val="Grid Table 3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49">
    <w:name w:val="Grid Table 3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50">
    <w:name w:val="Grid Table 3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51">
    <w:name w:val="Grid Table 3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52">
    <w:name w:val="Grid Table 3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53">
    <w:name w:val="Grid Table 4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954">
    <w:name w:val="Grid Table 4 - Accent 1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955">
    <w:name w:val="Grid Table 4 - Accent 2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956">
    <w:name w:val="Grid Table 4 - Accent 3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957">
    <w:name w:val="Grid Table 4 - Accent 4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58">
    <w:name w:val="Grid Table 4 - Accent 5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959">
    <w:name w:val="Grid Table 4 - Accent 6"/>
    <w:basedOn w:val="9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styleId="960">
    <w:name w:val="Grid Table 5 Dark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961">
    <w:name w:val="Grid Table 5 Dark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962">
    <w:name w:val="Grid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963">
    <w:name w:val="Grid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964">
    <w:name w:val="Grid Table 5 Dark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965">
    <w:name w:val="Grid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966">
    <w:name w:val="Grid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967">
    <w:name w:val="Grid Table 6 Colorful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968">
    <w:name w:val="Grid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firstRow">
      <w:rPr>
        <w:b/>
        <w:color w:val="ACCCEA"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  <w:tblPr/>
    </w:tblStylePr>
    <w:tblStylePr w:type="lastRow">
      <w:rPr>
        <w:b/>
        <w:color w:val="ACCCEA" w:themeColor="accent1" w:themeTint="80" w:themeShade="95"/>
      </w:rPr>
      <w:tblPr/>
    </w:tblStylePr>
  </w:style>
  <w:style w:type="table" w:customStyle="1" w:styleId="969">
    <w:name w:val="Grid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970">
    <w:name w:val="Grid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971">
    <w:name w:val="Grid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972">
    <w:name w:val="Grid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973">
    <w:name w:val="Grid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styleId="974">
    <w:name w:val="Grid Table 7 Colorful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75">
    <w:name w:val="Grid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76">
    <w:name w:val="Grid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77">
    <w:name w:val="Grid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78">
    <w:name w:val="Grid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79">
    <w:name w:val="Grid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80">
    <w:name w:val="Grid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81">
    <w:name w:val="List Table 1 Light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82">
    <w:name w:val="List Table 1 Light - Accent 1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83">
    <w:name w:val="List Table 1 Light - Accent 2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84">
    <w:name w:val="List Table 1 Light - Accent 3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85">
    <w:name w:val="List Table 1 Light - Accent 4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86">
    <w:name w:val="List Table 1 Light - Accent 5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87">
    <w:name w:val="List Table 1 Light - Accent 6"/>
    <w:basedOn w:val="9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989">
    <w:name w:val="List Table 2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990">
    <w:name w:val="List Table 2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991">
    <w:name w:val="List Table 2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992">
    <w:name w:val="List Table 2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993">
    <w:name w:val="List Table 2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994">
    <w:name w:val="List Table 2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95">
    <w:name w:val="List Table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96">
    <w:name w:val="List Table 3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97">
    <w:name w:val="List Table 3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98">
    <w:name w:val="List Table 3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99">
    <w:name w:val="List Table 3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0">
    <w:name w:val="List Table 3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1">
    <w:name w:val="List Table 3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02">
    <w:name w:val="List Table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3">
    <w:name w:val="List Table 4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4">
    <w:name w:val="List Table 4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5">
    <w:name w:val="List Table 4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6">
    <w:name w:val="List Table 4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7">
    <w:name w:val="List Table 4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1008">
    <w:name w:val="List Table 4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09">
    <w:name w:val="List Table 5 Dark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10">
    <w:name w:val="List Table 5 Dark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11">
    <w:name w:val="List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12">
    <w:name w:val="List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13">
    <w:name w:val="List Table 5 Dark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14">
    <w:name w:val="List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15">
    <w:name w:val="List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1016">
    <w:name w:val="List Table 6 Colorful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1017">
    <w:name w:val="List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rPr>
        <w:b/>
        <w:color w:val="245A8D" w:themeColor="accent1" w:themeShade="95"/>
      </w:rPr>
      <w:tblPr/>
    </w:tblStyle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tblPr/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1018">
    <w:name w:val="List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1019">
    <w:name w:val="List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1020">
    <w:name w:val="List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1021">
    <w:name w:val="List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rPr>
        <w:b/>
        <w:color w:val="8DA9DB" w:themeColor="accent5" w:themeTint="9a" w:themeShade="95"/>
      </w:rPr>
      <w:tblPr/>
    </w:tblStylePr>
    <w:tblStylePr w:type="firstRow">
      <w:rPr>
        <w:b/>
        <w:color w:val="8DA9DB"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  <w:tblPr/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1022">
    <w:name w:val="List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1023">
    <w:name w:val="List Table 7 Colorful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4">
    <w:name w:val="List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5">
    <w:name w:val="List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6">
    <w:name w:val="List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7">
    <w:name w:val="List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8">
    <w:name w:val="List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9">
    <w:name w:val="List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30">
    <w:name w:val="Lined - Accent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1031">
    <w:name w:val="Lined - Accent 1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1032">
    <w:name w:val="Lined - Accent 2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1033">
    <w:name w:val="Lined - Accent 3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1034">
    <w:name w:val="Lined - Accent 4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1035">
    <w:name w:val="Lined - Accent 5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1036">
    <w:name w:val="Lined - Accent 6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1037">
    <w:name w:val="Bordered &amp; Lined - Accent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1038">
    <w:name w:val="Bordered &amp; Lined - Accent 1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1039">
    <w:name w:val="Bordered &amp; Lined - Accent 2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1040">
    <w:name w:val="Bordered &amp; Lined - Accent 3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1041">
    <w:name w:val="Bordered &amp; Lined - Accent 4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1042">
    <w:name w:val="Bordered &amp; Lined - Accent 5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1043">
    <w:name w:val="Bordered &amp; Lined - Accent 6"/>
    <w:basedOn w:val="92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1044">
    <w:name w:val="Bordered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1045">
    <w:name w:val="Bordered - Accent 1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1046">
    <w:name w:val="Bordered - Accent 2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1047">
    <w:name w:val="Bordered - Accent 3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1048">
    <w:name w:val="Bordered - Accent 4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1049">
    <w:name w:val="Bordered - Accent 5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1050">
    <w:name w:val="Bordered - Accent 6"/>
    <w:basedOn w:val="9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1051">
    <w:name w:val="Table Grid"/>
    <w:basedOn w:val="925"/>
    <w:uiPriority w:val="3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LibreOffice/7.1.8.1$Linux_X86_64 LibreOffice_project/10$Build-1</Application>
  <AppVersion>15.0000</AppVersion>
  <Pages>15</Pages>
  <Words>3469</Words>
  <Characters>24519</Characters>
  <CharactersWithSpaces>27519</CharactersWithSpaces>
  <Paragraphs>441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2025-02-27T23:21:00Z</dcterms:created>
  <dc:creator>Колоусов Иван Владимирович</dc:creator>
  <dc:description/>
  <dc:language>ru-RU</dc:language>
  <cp:lastModifiedBy/>
  <dcterms:modified xsi:type="dcterms:W3CDTF">2026-07-13T08:45:20Z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